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6B_911/2024 vom 3. Dezember 2025</w:t>
      </w:r>
    </w:p>
    <w:p>
      <w:r>
        <w:t>Bundesgericht, 2025-12-03, DE</w:t>
      </w:r>
    </w:p>
    <w:p>
      <w:r>
        <w:rPr>
          <w:b/>
        </w:rPr>
        <w:t xml:space="preserve">Quelle: </w:t>
      </w:r>
      <w:r>
        <w:t>https://mcp.opencaselaw.ch/entscheid/bger_6B_911_2024</w:t>
      </w:r>
    </w:p>
    <w:p>
      <w:r>
        <w:t>FR: TF 6B_911/2024 du 3 décembre 2025</w:t>
      </w:r>
    </w:p>
    <w:p>
      <w:r>
        <w:t>IT: TF 6B_911/2024 del 3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A.________erhob mit Schreiben vom 7. November 2024 Beschwerde in Strafsachen. Er beantragte zusammengefasst, Dispositiv-Ziff. 3 des Beschlusses vom 19. September 2024 des Obergerichts des Kantons Aargau sei aufzuheben und er sei für seinen Aufwand als amtlicher Verteidiger von B.________ in der Strafsache SST.2023.251 mit einem Betrag von insgesamt Fr. 9'779.60 (zzgl. MWST) zu entschädigen. Eventualiter sei die genannte Dispositiv-Ziffer aufzuheben und die Sache zur Neubeurteilung und neuerlichen Festsetzung bzw. Bemessung einer Entschädigung an das Obergericht des Kantons Aargau zurückzuweisen.</w:t>
      </w:r>
    </w:p>
    <w:p>
      <w:r>
        <w:t>Mit Schreiben vom 25. November 2025 zog der Beschwerdeführer seine Beschwerde zurück.</w:t>
      </w:r>
    </w:p>
    <w:p>
      <w:r>
        <w:rPr>
          <w:b/>
        </w:rPr>
        <w:t>E. 2</w:t>
      </w:r>
    </w:p>
    <w:p>
      <w:r>
        <w:t>Zufolge des Rückzugs der Beschwerde ist das Verfahren in Anwendung von Art. 32 Abs. 2 BGG durch den Instruktionsrichter als Einzelrichter als erledigt abzuschreiben.</w:t>
      </w:r>
    </w:p>
    <w:p>
      <w:r>
        <w:t>Wer eine Beschwerde zurückzieht, ist in der Regel, vorbehältlich besonderer Umstände, die hier nicht gegeben sind, als unterliegende Partei zu betrachten.</w:t>
      </w:r>
    </w:p>
    <w:p>
      <w:r>
        <w:t>Auf die Erhebung von Gerichtskosten kann in Anwendung von Art. 66 Abs. 2 BGG verzichtet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