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911/2015 vom 9. November 2015</w:t>
      </w:r>
    </w:p>
    <w:p>
      <w:r>
        <w:t>Bundesgericht, 2015-11-09, DE</w:t>
      </w:r>
    </w:p>
    <w:p>
      <w:r>
        <w:rPr>
          <w:b/>
        </w:rPr>
        <w:t xml:space="preserve">Quelle: </w:t>
      </w:r>
      <w:r>
        <w:t>https://mcp.opencaselaw.ch/entscheid/bger_6B_911_2015</w:t>
      </w:r>
    </w:p>
    <w:p>
      <w:r>
        <w:t>FR: TF 6B 911/2015 du 9 novembre 2015</w:t>
      </w:r>
    </w:p>
    <w:p>
      <w:r>
        <w:t>IT: TF 6B 911/2015 del 9 novembre 2015</w:t>
      </w:r>
    </w:p>
    <w:p>
      <w:pPr>
        <w:pStyle w:val="Heading2"/>
      </w:pPr>
      <w:r>
        <w:t>Regeste</w:t>
      </w:r>
    </w:p>
    <w:p>
      <w:r>
        <w:t>Arbeitsentgelt (Strafvollzug) | Straf- und Massnahmenvollzug</w:t>
      </w:r>
    </w:p>
    <w:p>
      <w:pPr>
        <w:pStyle w:val="Heading2"/>
      </w:pPr>
      <w:r>
        <w:t>Erwägungen</w:t>
      </w:r>
    </w:p>
    <w:p>
      <w:r>
        <w:rPr>
          <w:b/>
        </w:rPr>
        <w:t>E. 1</w:t>
      </w:r>
    </w:p>
    <w:p>
      <w:r>
        <w:t>Das Bundesgericht prüft seine Zuständigkeit sowie die Beschwerdevoraussetzungen mit freier Kognition (vgl. BGE 140 IV 57 E. 2).</w:t>
      </w:r>
    </w:p>
    <w:p>
      <w:r>
        <w:rPr>
          <w:b/>
        </w:rPr>
        <w:t>E. 1.1</w:t>
      </w:r>
    </w:p>
    <w:p>
      <w:r>
        <w:t>Sachlich geht es um die Verwendung des Arbeitsentgelts ( Art. 83 Abs. 2 StGB ) durch den Direktor der JVA Lenzburg gegen den Willen des Beschwerdeführers. Das Entgelt wird nach der Hausordnung der JVA Lenzburg teils als Bargeld ausbezahlt und zu ca. 25% dem Freikonto und zu ca. 35% dem Sperrkonto überwiesen (Urteil S. 6). Gemäss Art. 19 V-StGB-MStG wird die Verwendung des Entgelts von den Kantonen festgelegt. Nach § 66 Abs. 3 lit. d [aargauische] Strafvollzugsverordnung kann die Vollzugsanstalt vorsehen, dass das Entgelt angemessen "zur Bezahlung der Verfahrenskosten in von Gefangenen verursachten Beschwerdeverfahren" herangezogen werden kann. Nach der Konzeption der Einheitsbeschwerde soll der Rechtsmittelweg vom Rechtsgebiet abhängen, auf welches die Streitsache letztlich zurückgeht (Botschaft zur Totalrevision der Bundesrechtspflege vom 28. Februar 2001, BBl 2001 4235). Es handelt sich nicht um einen eigentlichen Vollzugsentscheid im Sinne von Art. 78 Abs. 2 lit. b BGG , wohl aber um eine Verfügung im Rahmen von Art. 83 Abs. 2 StGB im Strafvollzug. Die Beschwerde in Strafsachen ist zulässig.</w:t>
      </w:r>
    </w:p>
    <w:p>
      <w:r>
        <w:rPr>
          <w:b/>
        </w:rPr>
        <w:t>E. 1.2</w:t>
      </w:r>
    </w:p>
    <w:p>
      <w:r>
        <w:t>Zur Beschwerde berechtigt ist, wer vor der Vorinstanz am Verfahren teilgenommen hat und (kumulativ) gemäss Art. 81 Abs. 1 lit. b BGG "ein rechtlich geschütztes Interesse an der Aufhebung oder Änderung des angefochtenen Entscheids hat". Legitimiert ist die durch die Verfügung beschwerte Person (Art. 81 Abs. 1 lit. b Ziff. 1 BGG).</w:t>
      </w:r>
    </w:p>
    <w:p>
      <w:r>
        <w:rPr>
          <w:b/>
        </w:rPr>
        <w:t>E. 1.3</w:t>
      </w:r>
    </w:p>
    <w:p>
      <w:r>
        <w:t>Im ersten Beschwerdeverfahren wurde beim DVI im Hauptstandpunkt beantragt, das Vermögen des Vertretenen festzustellen und dem Rechtsvertreter "als Entschädigung für seine jahrelangen Bemühungen und Auslagen auszuzahlen" (oben Bst. A.d). In der Folge wurde der Vorinstanz und wird nun vor Bundesgericht gefordert, den "Betrag von Fr. 1'250.-- dem Unterzeichneten [...] zurückzuzahlen". Zu dieser Prozessführung im eigenen Interesse ist der Rechtsvertreter nicht legitimiert (oben E. 1.2). Die Zusprechung des Streitgegenstands an den Rechtsvertreter steht ohnehin ausser Betracht.</w:t>
      </w:r>
    </w:p>
    <w:p>
      <w:r>
        <w:rPr>
          <w:b/>
        </w:rPr>
        <w:t>E. 2</w:t>
      </w:r>
    </w:p>
    <w:p>
      <w:r>
        <w:t>Bezüglich Kostenfolgen und Beurteilungen der Gesuche um unentgeltliche Rechtspflege in den Beschwerdeverfahren (Rechtsbegehren Ziff. 3) fehlt eine bundesrechtskonforme Begründung der Beschwerde (Art. 42 Abs. 2 i.V.m. Art. 97 Abs. 1 und Art. 106 Abs. 2 BGG ). Unter anderem wird keine Norm erwähnt, die verletzt sein sollte (vgl. Beschwerde Ziff. 8 und 9). Darauf ist nicht einzutreten.</w:t>
      </w:r>
    </w:p>
    <w:p>
      <w:r>
        <w:rPr>
          <w:b/>
        </w:rPr>
        <w:t>E. 3</w:t>
      </w:r>
    </w:p>
    <w:p>
      <w:r>
        <w:t>Auf die Beschwerde ist nicht einzutreten. Das Gesuch um unentgeltliche Rechtspflege ist wegen Aussichtslosigkeit der Rechtsbegehren abzuweisen ( Art. 64 BGG ). Unnötige Kosten hat zu bezahlen, wer sie verursacht ( Art. 66 Abs. 3 BGG ). Die Gerichtskosten sind dem Rechtsvertreter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