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6B_909/2023 vom 17. Januar 2024</w:t>
      </w:r>
    </w:p>
    <w:p>
      <w:r>
        <w:t>Bundesgericht, 2024-01-17, DE</w:t>
      </w:r>
    </w:p>
    <w:p>
      <w:r>
        <w:rPr>
          <w:b/>
        </w:rPr>
        <w:t xml:space="preserve">Quelle: </w:t>
      </w:r>
      <w:r>
        <w:t>https://mcp.opencaselaw.ch/entscheid/bger_6B_909_2023</w:t>
      </w:r>
    </w:p>
    <w:p>
      <w:r>
        <w:t>FR: TF 6B_909/2023 du 17 janvier 2024</w:t>
      </w:r>
    </w:p>
    <w:p>
      <w:r>
        <w:t>IT: TF 6B_909/2023 del 17 gennaio 2024</w:t>
      </w:r>
    </w:p>
    <w:p>
      <w:pPr>
        <w:pStyle w:val="Heading2"/>
      </w:pPr>
      <w:r>
        <w:t>Erwägungen</w:t>
      </w:r>
    </w:p>
    <w:p>
      <w:r>
        <w:rPr>
          <w:b/>
        </w:rPr>
        <w:t>E. 1</w:t>
      </w:r>
    </w:p>
    <w:p>
      <w:r>
        <w:t>Mit Schreiben vom 15. Januar 2024 zog die Beschwerdeführerin die von ihr mit Eingabe vom 5. Juli 2023 gegen den Beschluss des Obergerichts des Kantons Bern vom 5. Juni 2023 erhobene Beschwerde zurück. Das Verfahren ist folglich in Anwendung von Art. 32 Abs. 2 BGG durch den Instruktionsrichter als Einzelrichter als erledigt abzuschreiben ( Art. 71 BGG i.V.m. Art. 73 BZP ).</w:t>
      </w:r>
    </w:p>
    <w:p>
      <w:r>
        <w:rPr>
          <w:b/>
        </w:rPr>
        <w:t>E. 2</w:t>
      </w:r>
    </w:p>
    <w:p>
      <w:r>
        <w:t>Auf die Erhebung von Gerichtskosten kann in Anwendung von Art. 66 Abs. 2 BGG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