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6B_909/2020 vom 15. Dezember 2020</w:t>
      </w:r>
    </w:p>
    <w:p>
      <w:r>
        <w:t>Bundesgericht, 2020-12-15, FR</w:t>
      </w:r>
    </w:p>
    <w:p>
      <w:r>
        <w:rPr>
          <w:b/>
        </w:rPr>
        <w:t xml:space="preserve">Quelle: </w:t>
      </w:r>
      <w:r>
        <w:t>https://mcp.opencaselaw.ch/entscheid/bger_6B_909_2020</w:t>
      </w:r>
    </w:p>
    <w:p>
      <w:r>
        <w:t>FR: TF 6B_909/2020 du 15 décembre 2020</w:t>
      </w:r>
    </w:p>
    <w:p>
      <w:r>
        <w:t>IT: TF 6B_909/2020 del 15 dicembre 2020</w:t>
      </w:r>
    </w:p>
    <w:p>
      <w:pPr>
        <w:pStyle w:val="Heading2"/>
      </w:pPr>
      <w:r>
        <w:t>Erwägungen</w:t>
      </w:r>
    </w:p>
    <w:p>
      <w:r>
        <w:rPr>
          <w:b/>
        </w:rPr>
        <w:t>E. 1</w:t>
      </w:r>
    </w:p>
    <w:p>
      <w:r>
        <w:t>Le recourant conteste sa qualité de coauteur du brigandage, soutenant qu'il ne pourrait être condamné que pour complicité.</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rPr>
          <w:b/>
        </w:rPr>
        <w:t>E. 1.2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130 IV 58 consid. 9.2.1 p. 66; 125 IV 134 consid. 3a p. 136).</w:t>
      </w:r>
    </w:p>
    <w:p>
      <w:r>
        <w:rPr>
          <w:b/>
        </w:rPr>
        <w:t>E. 1.3</w:t>
      </w:r>
    </w:p>
    <w:p>
      <w:r>
        <w:t>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p. 52 et les références citées); il n'est toutefois pas nécessaire que l'assistance du complice soit une condition sine qua non à la réalisation de l'infraction ( ATF 121 IV 109 consid. 3a p. 119). L'assistance prêtée par le complice peut notamment être intellectuelle, ce qui est le cas lorsque celui-ci encourage l'auteur, entretient ou fortifie sa décision de commettre l'infraction ( ATF 79 IV 145 p. 147; arrêt 6B_592/2020 du 5 novembre 2020 consid. 2.1).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p. 52; 121 IV 109 consid. 3a p. 120).</w:t>
      </w:r>
    </w:p>
    <w:p>
      <w:r>
        <w:rPr>
          <w:b/>
        </w:rPr>
        <w:t>E. 1.4</w:t>
      </w:r>
    </w:p>
    <w:p>
      <w:r>
        <w:t>La cour cantonale a constaté que le recourant avait déclaré avoir lui-même donné le tournevis à D.________ lors du brigandage, n'avoir pas réagi lorsque celui-ci s'en était pris à B.________ et avoir intimé l'ordre à celui-ci d'aller dans sa chambre. Il avait compris que c'était eux qui menaçaient B.________ et non l'inverse, celui-ci devant avoir peur de la situation. Il avait admis avoir menti en disant que c'était D.________ qui lui avait donné le sac puisqu'il l'avait effectivement trouvé parterre et avoir convenu de partager le butin. Le recourant avait agi de la manière décrite dans l'acte d'accusation, comme il l'avait admis dans un premier temps, ses dernières déclarations n'étant pas crédibles. Sur cette base, la cour cantonale a apprécié que la participation du recourant avait été essentielle à la commission du brigandage. Il avait participé, par actes concluants, à la décision commune de muer le simple vol initialement prévu par le duo en brigandage. Par sa présence, mais aussi par ses paroles, en intimant l'ordre à B.________ d'aller dans sa chambre et de se taire, le recourant avait participé de manière déterminante à faire pression sur la victime et à la menacer. Il avait endossé un rôle dépassant largement celui de la seule assistance à un crime. S'il était vrai qu'il avait peut-être à un moment donné demandé à son comparse d'arrêter, il ne s'était nullement désolidarisé du comportement de D.________ au cours des faits.</w:t>
      </w:r>
    </w:p>
    <w:p>
      <w:r>
        <w:rPr>
          <w:b/>
        </w:rPr>
        <w:t>E. 1.5</w:t>
      </w:r>
    </w:p>
    <w:p>
      <w:r>
        <w:t>Le recourant soutient que les éléments retenus par la cour cantonale seraient insuffisants pour retenir la coactivité de brigandage. Il serait seulement le complice de D.________, dans la mesure où sa participation au forfait aurait été secondaire et subordonnée. A l'appui, il se réfère aux déclarations qu'il a faites devant la cour cantonale: s'il était en possession d'un tournevis, c'était uniquement pour ouvrir la porte de l'appartement. Il avait remis l'outil à D.________ à la demande de celui-ci, sans penser à l'usage qu'il pourrait en faire, et n'aurait pas voulu que celui-ci s'en prenne physiquement à la victime. Aucun acte de violence ne saurait lui être imputé. D.________ n'aurait pas utilisé le tournevis, ni frappé B.________.</w:t>
      </w:r>
    </w:p>
    <w:p>
      <w:r>
        <w:t>Le recourant présente sa propre appréciation des preuves et version des faits, en introduisant des éléments qui ne ressortent pas du jugement attaqué ou qui entrent en contradiction avec celui-ci, sans toutefois articuler une argumentation satisfaisant aux exigences de l' art. 106 al. 2 LTF . Ce procédé est irrecevable.</w:t>
      </w:r>
    </w:p>
    <w:p>
      <w:r>
        <w:t>En tout état, sur la base des constatations de fait dénuées d'arbitraire, la cour cantonale pouvait parvenir à la conclusion que le recourant avait adhéré et collaboré de manière déterminante au brigandage perpétré. Il a en effet collaboré intentionnellement et de manière significative à la décision de commettre l'infraction, notamment par actes concluants, ainsi qu'à sa mise en oeuvre. Il s'est de la sorte associé au brigandage, dans des conditions ou dans une mesure qui le font apparaître comme un participant non pas secondaire, mais principal. C'est donc à juste titre que la cour cantonale a retenu que le recourant devait être reconnu coupable de brigandage. Le grief soulevé doit partant être rejeté, dans la mesure de sa recevabilité.</w:t>
      </w:r>
    </w:p>
    <w:p>
      <w:r>
        <w:rPr>
          <w:b/>
        </w:rPr>
        <w:t>E. 1.6</w:t>
      </w:r>
    </w:p>
    <w:p>
      <w:r>
        <w:t>Au bénéfice du doute conviendrait-il, selon le recourant, de tenir compte à sa décharge qu'il avait "peut-être à un moment donné demandé à son comparse d'arrêter".</w:t>
      </w:r>
    </w:p>
    <w:p>
      <w:r>
        <w:t>La cour cantonale n'a pas écarté cette hypothèse. Elle a cependant estimé que si celle-ci était vraie, le recourant ne s'était pas pour autant désolidarisé du comportement de D.________. Il n'avait pas réagi au moment de l'altercation physique opposant celui-ci à la victime, en tentant de les séparer, et n'avait pas refusé de lui donner le tournevis lorsque D.________ le lui avait demandé, alors même qu'il ne pouvait que savoir que cet outil servirait à accroître la menace. De plus, le recourant s'était emparé d'une partie du butin, qu'il était personnellement allé récupérer en soirée (jugement attaqué, p. 15). On comprend ainsi de l'appréciation des preuves effectuée par la cour cantonale, dont le recourant échoue à démontrer l'arbitraire, que même à retenir que le recourant aurait prononcé la phrase dont il se prévaut, celle-ci n'a pas eu de conséquence sur la qualification de sa participation. La cour cantonale était dès lors fondée à retenir que le rôle endossé par le recourant avait largement dépassé celui de la seule assistance à un crime. Son grief doit par conséquent être rejeté.</w:t>
      </w:r>
    </w:p>
    <w:p>
      <w:r>
        <w:rPr>
          <w:b/>
        </w:rPr>
        <w:t>E. 2</w:t>
      </w:r>
    </w:p>
    <w:p>
      <w:r>
        <w:t>Le recourant conteste la quotité de la peine privative de liberté infligée - concluant à ce que celle-ci soit "quelque peu réduite" - fondé seulement sur sa condamnation pour complicité de brigandage. Dès lors qu'il ne l'obtient pas, cette argumentation est irrecevable.</w:t>
      </w:r>
    </w:p>
    <w:p>
      <w:r>
        <w:rPr>
          <w:b/>
        </w:rPr>
        <w:t>E. 3</w:t>
      </w:r>
    </w:p>
    <w:p>
      <w:r>
        <w:t>Le recourant s'oppose à son expulsion du territoire suisse.</w:t>
      </w:r>
    </w:p>
    <w:p>
      <w:r>
        <w:rPr>
          <w:b/>
        </w:rPr>
        <w:t>E. 3.1</w:t>
      </w:r>
    </w:p>
    <w:p>
      <w:r>
        <w:t>Aux termes de l' art. 66a al. 1 let . c CP, le juge expulse de Suisse l'étranger qui est condamné notamment pour brigandage ( art. 140 CP ), quelle que soit la quotité de la peine prononcée à son encontre, pour une durée de 5 à 15 ans.</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La clause de rigueur permet de garantir le principe de la proportionnalité ( art. 5 al. 2 Cst. ). Elle doit être appliquée de manière restrictive ( ATF 146 IV 105 consid. 3.4.2 p. 108; 144 IV 332 consid. 3.3.1 p. 340). Selon la jurisprudence du Tribunal fédéral ( ATF 146 IV 105 consid. 3.4 p. 108 ss;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6B_825/2020 du 28 octobre 2020 consid. 4.1; 6B_397/2020 du 24 juillet 2020 consid. 6.1; 6B_344/2020 du 9 juillet 2020 consid 3.1).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6B_825/2020 du 28 octobre 2020 consid. 4.1). Un séjour légal de dix années suppose en principe une bonne intégration de l'étranger ( ATF 144 I 266 consid. 3.9 p. 278).</w:t>
      </w:r>
    </w:p>
    <w:p>
      <w:r>
        <w:rPr>
          <w:b/>
        </w:rPr>
        <w:t>E. 3.2</w:t>
      </w:r>
    </w:p>
    <w:p>
      <w:r>
        <w:t>Le recourant ne conteste pas avoir été condamné pour une infraction à l' art. 140 CP , qui tombe sous le coup de l' art. 66a al. 1 let . c CP. Il fait valoir que son expulsion du territoire suisse ne serait pas justifiée au regard de sa situation personnelle et invoque l'application de la clause de rigueur, dans la mesure où il est né en Suisse et y aurait toute sa parenté. Le cas échéant, il fait valoir que la décision d'expulsion pourrait être "remplacée par un sévère avertissement" et son autorisation de rester en Suisse maintenue, moyennant le prononcé d'une "sommation" qui l'engagerait à "prendre toutes mesures pour s'abstenir de recourir aux services sociaux". Il indique qu'il aurait recouru contre une décision instituant à son encontre une curatelle de portée générale ( art. 398 CC ) et que son recours aurait été partiellement admis par arrêt rendu le 18 mai 2018 par la Chambre des curatelles du Tribunal cantonal vaudois. Il produit l'arrêt en question, aux termes duquel il est notamment mis fin à l'enquête en placement à des fins d'assistance ouverte en faveur du recourant et ordonné la poursuite de l'enquête en institution d'une mesure de protection en sa faveur.</w:t>
      </w:r>
    </w:p>
    <w:p>
      <w:r>
        <w:rPr>
          <w:b/>
        </w:rPr>
        <w:t>E. 3.3</w:t>
      </w:r>
    </w:p>
    <w:p>
      <w:r>
        <w:t>L'expulsion d'un individu étant né et ayant passé toute son existence en Suisse, jusqu'à l'âge adulte, ne peut que causer à celui-ci une atteinte à son droit au respect de sa vie privée, cela indépendamment de sa situation personnelle et familiale (cf. arrêt 6B_255/2020 du 6 mai 2020 consid. 1.2.3 et la référence citée). En l'espèce, un renvoi du recourant en Bosnie le placerait dans une situation personnelle grave - ce qu'a admis la cour cantonale (jugement entrepris, p. 20) - et constituerait une atteinte sensible au respect de sa vie privée au sens de l' art. 8 par. 1 CEDH , de sorte que la première condition cumulative de l' art. 66a al. 2 CP est réalisée.</w:t>
      </w:r>
    </w:p>
    <w:p>
      <w:r>
        <w:rPr>
          <w:b/>
        </w:rPr>
        <w:t>E. 3.4</w:t>
      </w:r>
    </w:p>
    <w:p>
      <w:r>
        <w:t>Il convient encore d'examiner si l'intérêt privé du recourant à demeurer en Suisse peut l'emporter sur l'intérêt public présidant à son expulsion.</w:t>
      </w:r>
    </w:p>
    <w:p>
      <w:r>
        <w:rPr>
          <w:b/>
        </w:rPr>
        <w:t>E. 3.4.1</w:t>
      </w:r>
    </w:p>
    <w:p>
      <w:r>
        <w:t>Dans l'appréciation du cas de rigueur, l' art. 66a al. 2 2 ème phrase CP impose expressément de prendre en considération la situation particulière de l'étranger qui est né ou qui a grandi en Suisse.</w:t>
      </w:r>
    </w:p>
    <w:p>
      <w:r>
        <w:t>L'examen de la clause de rigueur doit être effectué dans chaque cas sur la base des critères d'intégration habituels (cf. ATF 144 IV 332 consid. 3.3.2 p. 340 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 109 s.; arrêt 6B_286/2020 du 1er juillet 2020 consid. 1.4.1).</w:t>
      </w:r>
    </w:p>
    <w:p>
      <w:r>
        <w:rPr>
          <w:b/>
        </w:rPr>
        <w:t>E. 3.4.2</w:t>
      </w:r>
    </w:p>
    <w:p>
      <w:r>
        <w:t>La cour cantonale a notamment exposé que le recourant ne travaillait pas et n'avait jamais véritablement travaillé en Suisse. Il avait échoué à ses apprentissages et ne disposait d'aucune formation professionnelle, vivant désormais de l'aide sociale. Ses quelques stages ou recherches d'emploi n'avaient jusqu'à ce jour rien donné. Il disposait certes d'amis, mais ne faisait partie d'aucune association, sportive ou autre. Il consommait des produits stupéfiants de longue date et son parcours judiciaire était déjà étoffé. Ses infractions - parfois graves - étaient multiples et révélaient un mépris généralisé pour l'ordre juridique suisse, les règles de la circulation routière, le bien et l'honneur d'autrui, ainsi que l'autorité en général. Le recourant avait entretenu des relations régulières avec la Bosnie, son pays d'origine. Il s'y était rendu une fois par année, une à deux semaines pour voir son grand-père, jusqu'à il y a deux ans. Il y avait également effectué un séjour prolongé de trois mois. Il avait toujours un oncle en Bosnie et parlait la langue de son pays. En définitive, en raison de la faible intégration du recourant en Suisse, et compte tenu de sa propension à commettre des infractions et du risque élevé de récidive qu'il présentait, l'intérêt public à son expulsion l'emportait sur l'intérêt de celui-ci à demeurer en Suisse. Il n'y avait pas lieu de faire application de la clause de rigueur. La durée de l'expulsion - 5 ans - ne prêtait pas le flanc à la critique.</w:t>
      </w:r>
    </w:p>
    <w:p>
      <w:r>
        <w:rPr>
          <w:b/>
        </w:rPr>
        <w:t>E. 3.4.3</w:t>
      </w:r>
    </w:p>
    <w:p>
      <w:r>
        <w:t>Sur la base des constatations de fait dénuées d'arbitraire, la pesée des intérêts opérée par la cour cantonale doit être confirmée.</w:t>
      </w:r>
    </w:p>
    <w:p>
      <w:r>
        <w:t>En effet, les perspectives d'intégration du recourant en Suisse apparaissent faibles, dans la mesure où il n'a jamais travaillé dans ce pays et ne dispose d'aucune formation professionnelle. A l'inverse, l'intégration socio-professionnelle du recourant en Bosnie, pays dont il parle la langue, où il s'est rendu régulièrement et où vit encore son oncle, paraît envisageable, à plus forte raison qu'il est encore jeune. Les perspectives d'intégration dans ce pays n'apparaissent pas moins bonnes qu'en Suisse. Ainsi, l'intérêt privé du recourant à demeurer en Suisse est plutôt faible. Par ailleurs, le recourant consomme des produits stupéfiants et fait l'objet de plusieurs condamnations pénales - y compris en tant que mineur - alors qu'il n'est qu'un jeune adulte. Ses condamnations ne semblent pourtant pas l'avoir motivé à reprendre sa vie en mains, vu l'oisiveté décrite dans l'état de fait cantonal. Au vu de sa propension à la commission régulière d'infractions variées et répétées, l'intérêt public à son expulsion est particulièrement important. En définitive, l'intérêt public à l'expulsion du recourant l'emporte sur l'intérêt de celui-ci à rester en Suisse. Le recourant se prévaut encore de l'admission partielle de son recours contre une décision instituant à son encontre une curatelle de portée générale. Il n'expose cependant pas en quoi cet élément aurait une influence sur l'appréciation du cas de rigueur. Le recourant relève enfin qu'il n'aurait que deux antécédents, ce qui ressort bien du jugement entrepris. Infondés, les griefs du recourant doivent être rejetés.</w:t>
      </w:r>
    </w:p>
    <w:p>
      <w:r>
        <w:t>Pour le reste, l'argumentation du recourant est irrecevable, dans la mesure où elle s'écarte de l'état de fait retenu par la cour cantonale, par lequel le Tribunal fédéral est lié (art. 105. al. 1 LTF), sans démontrer en quoi celui-ci serait entaché d'arbitraire. Il en va ainsi lorsque le recourant avance qu'il aurait de nombreux amis en Suisse, qu'il envisagerait de recommencer le football dans un club et n'aurait que quelques notions du bosniaque. Lorsque le recourant prétend que sa condamnation à une peine privative de liberté de 12 mois demeurerait dans une certaine mesure "modeste", sa démarche est appellatoire, partant également irrecevable.</w:t>
      </w:r>
    </w:p>
    <w:p>
      <w:r>
        <w:t>Dans la mesure où l'expulsion est confirmée, la conclusion du recourant visant à remplacer l'expulsion par un "sévère avertissement" est sans objet.</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 Enfin, la cause étant tranchée, la demande d'effet suspensif est sans objet, à supposer qu'elle en eût un, le recours étant de plein droit suspensif tant en ce qui concerne la condamnation à une peine privative de liberté ferme ( art. 103 al. 2 let. b LTF ) que la mesure d'expulsion.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