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6B 904/2016 vom 29. August 2016</w:t>
      </w:r>
    </w:p>
    <w:p>
      <w:r>
        <w:t>Bundesgericht, 2016-08-29, DE</w:t>
      </w:r>
    </w:p>
    <w:p>
      <w:r>
        <w:rPr>
          <w:b/>
        </w:rPr>
        <w:t xml:space="preserve">Quelle: </w:t>
      </w:r>
      <w:r>
        <w:t>https://mcp.opencaselaw.ch/entscheid/bger_6B_904_2016</w:t>
      </w:r>
    </w:p>
    <w:p>
      <w:r>
        <w:t>FR: TF 6B 904/2016 du 29 août 2016</w:t>
      </w:r>
    </w:p>
    <w:p>
      <w:r>
        <w:t>IT: TF 6B 904/2016 del 29 agosto 2016</w:t>
      </w:r>
    </w:p>
    <w:p>
      <w:pPr>
        <w:pStyle w:val="Heading2"/>
      </w:pPr>
      <w:r>
        <w:t>Regeste</w:t>
      </w:r>
    </w:p>
    <w:p>
      <w:r>
        <w:t>Unentschuldigtes Fernbleiben von der Hauptverhandlung (üble Nachrede) | Strafrecht (allgemein)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wurde mit Schreiben vom 25. August 2016 zurückgezogen.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