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6B_904/2013 vom 12. Februar 2014</w:t>
      </w:r>
    </w:p>
    <w:p>
      <w:r>
        <w:t>Bundesgericht, 2014-02-12, DE</w:t>
      </w:r>
    </w:p>
    <w:p>
      <w:r>
        <w:rPr>
          <w:b/>
        </w:rPr>
        <w:t xml:space="preserve">Quelle: </w:t>
      </w:r>
      <w:r>
        <w:t>https://mcp.opencaselaw.ch/entscheid/bger_6B_904_2013</w:t>
      </w:r>
    </w:p>
    <w:p>
      <w:r>
        <w:t>FR: TF 6B_904/2013 du 12 février 2014</w:t>
      </w:r>
    </w:p>
    <w:p>
      <w:r>
        <w:t>IT: TF 6B_904/2013 del 12 febbraio 2014</w:t>
      </w:r>
    </w:p>
    <w:p>
      <w:pPr>
        <w:pStyle w:val="Heading2"/>
      </w:pPr>
      <w:r>
        <w:t>Erwägungen</w:t>
      </w:r>
    </w:p>
    <w:p>
      <w:r>
        <w:rPr>
          <w:b/>
        </w:rPr>
        <w:t>E. 1</w:t>
      </w:r>
    </w:p>
    <w:p>
      <w:r>
        <w:t>A.X.________,</w:t>
      </w:r>
    </w:p>
    <w:p>
      <w:r>
        <w:rPr>
          <w:b/>
        </w:rPr>
        <w:t>E. 2</w:t>
      </w:r>
    </w:p>
    <w:p>
      <w:r>
        <w:t>Die beiden Beschwerden lauten hauptsächlich gleich und richten sich gegen zwei weitestgehend identische Urteile. Es rechtfertigt sich, die Verfahren zu vereinigen und in einem einzigen Entscheid zu erledigen ( BGE 133 IV 215 E. 1; 131 V 59 E. 1; je mit Hinweisen).</w:t>
      </w:r>
    </w:p>
    <w:p>
      <w:r>
        <w:rPr>
          <w:b/>
        </w:rPr>
        <w:t>E. 3</w:t>
      </w:r>
    </w:p>
    <w:p>
      <w:r>
        <w:t>Anfechtungsobjekt der Beschwerde an das Bundesgericht ist der letztinstanzliche kantonale Entscheid ( Art. 80 Abs. 1 BGG ). Das sind vorliegend die Urteile des Kantonsgerichts. Auf die Beschwerden ist nicht einzutreten, soweit erstinstanzliche Erwägungen gerügt werden oder die Aufhebung der erstinstanzlichen Entscheide beantragt wird (Beschwerden S. 2 und z.B. S. 5 Ziff. 3 oder S. 6 Ziff. 1).</w:t>
      </w:r>
    </w:p>
    <w:p>
      <w:r>
        <w:rPr>
          <w:b/>
        </w:rPr>
        <w:t>E. 4</w:t>
      </w:r>
    </w:p>
    <w:p>
      <w:r>
        <w:t>In der Beschwerde ist in gedrängter Form darzulegen, inwiefern der angefochtene Akt Recht verletzt ( Art. 42 Abs. 1 und 2 BGG ). Dies setzt voraus, dass sich die Beschwerdeführer wenigstens kurz mit den Erwägungen des angefochtenen Entscheids auseinandersetzen ( BGE 134 II 244 E. 2.1). Eine qualifizierte Rügepflicht gilt hinsichtlich der Verletzung von kantonalem Recht. Solche Rügen prüft das Bundesgericht nur, wenn sie in der Beschwerde vorgebracht und substanziiert begründet worden sind. Das bedeutet, dass klar und detailliert anhand der Erwägungen des angefochtenen Entscheids darzulegen ist, inwiefern verfassungsmässige Rechte verletzt worden sein sollen ( Art. 106 Abs. 2 BGG ; BGE 136 I 65 E. 1.3.1 mit Hinweisen).</w:t>
      </w:r>
    </w:p>
    <w:p>
      <w:r>
        <w:t>Die Vorinstanz erwägt, die Beschwerdeführer seien gemäss anwendbarem kantonalem Verfahrensrecht als Privatkläger nicht legitimiert, den Schuld- oder Strafpunkt der erstinstanzlichen Urteile anzufechten. Sie seien auch keine Opfer im Sinne von Art. 1 Abs. 2 OHG . Auf ihre Berufungen könne nur eingetreten werden, soweit sie die Zivilklagen beträfen (Urteile S. 4-6 E. II). Die erste Instanz habe diese zu Recht auf den Zivilweg verwiesen. Der von den Privatklägern geltend gemachte Schaden sei nicht die Folge einer strafbaren Handlung, sondern hänge vielmehr mit der ungeklärten zivilrechtlichen Situation zusammen (Urteil S. 6 f. E. III). Mit diesen Erwägungen setzen sich die Beschwerdeführer nicht (substanziiert) auseinander. Ihre Ausführungen genügen den qualifizierten Begründungsanforderungen nicht. Auf die Beschwerden ist nicht einzutreten.</w:t>
      </w:r>
    </w:p>
    <w:p>
      <w:r>
        <w:t>Auf die Anträge, den Beschwerden die aufschiebende Wirkung zu erteilen, ist mangels Begründung ebenfalls nicht einzutreten.</w:t>
      </w:r>
    </w:p>
    <w:p>
      <w:r>
        <w:rPr>
          <w:b/>
        </w:rPr>
        <w:t>E. 5</w:t>
      </w:r>
    </w:p>
    <w:p>
      <w:r>
        <w:t>Auf die Beschwerden ist im Verfahren nach Art. 108 BGG nicht einzutreten. Ausgangsgemäss tragen die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