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6B_903/2022 vom 3. März 2023</w:t>
      </w:r>
    </w:p>
    <w:p>
      <w:r>
        <w:t>Bundesgericht, 2023-03-03, FR</w:t>
      </w:r>
    </w:p>
    <w:p>
      <w:r>
        <w:rPr>
          <w:b/>
        </w:rPr>
        <w:t xml:space="preserve">Quelle: </w:t>
      </w:r>
      <w:r>
        <w:t>https://mcp.opencaselaw.ch/entscheid/bger_6B_903_2022</w:t>
      </w:r>
    </w:p>
    <w:p>
      <w:r>
        <w:t>FR: TF 6B_903/2022 du 3 mars 2023</w:t>
      </w:r>
    </w:p>
    <w:p>
      <w:r>
        <w:t>IT: TF 6B_903/2022 del 3 marzo 2023</w:t>
      </w:r>
    </w:p>
    <w:p>
      <w:pPr>
        <w:pStyle w:val="Heading2"/>
      </w:pPr>
      <w:r>
        <w:t>Erwägungen</w:t>
      </w:r>
    </w:p>
    <w:p>
      <w:r>
        <w:rPr>
          <w:b/>
        </w:rPr>
        <w:t>E. 1</w:t>
      </w:r>
    </w:p>
    <w:p>
      <w:r>
        <w:t>Le mémoire de recours, qui présente pêle-mêle des moyens de différente nature, est largement appellatoire et, dans cette mesure, irrecevable. On se limitera à examiner les griefs intelligibles, motivés conformément aux prescriptions légales ( art. 42 al. 2 LTF , sur ce point: ATF 140 III 86 consid. 2 et 106 al. 2 LTF, sur ce point voir consid. 3.1</w:t>
      </w:r>
    </w:p>
    <w:p>
      <w:r>
        <w:t>infra ) et qui n'apparaissent dès lors pas immédiatement irrecevables. Les reproches du recourant ayant trait aux décisions de première instance sont irrecevables, faute d'être dirigés contre une décision de dernière instance cantonale (cf. art. 80 al. 1 LTF ; arrêts 6B_31/2021 du 7 avril 2022 consid. 4.3.2; 6B_1044/2020 du 16 décembre 2021 consid. 2.3; 6B_741/2020 du 11 novembre 2020 consid. 4.2).</w:t>
      </w:r>
    </w:p>
    <w:p>
      <w:r>
        <w:rPr>
          <w:b/>
        </w:rPr>
        <w:t>E. 2</w:t>
      </w:r>
    </w:p>
    <w:p>
      <w:r>
        <w:t>Le recourant se prévaut d'une violation de son droit d'être entendu. Il se plaint de n'avoir pas reçu une copie du procès-verbal de l'audience qui s'est tenue le 28 septembre 2021 devant le tribunal de police (cf. mémoire de recours p. 3). Il estime en outre que "n'ayant pas d'avocat, il aurait été judicieux d'avoir une audience publique afin de pouvoir argumenter et confronter les faits" (cf. mémoire de recours p. 6).</w:t>
      </w:r>
    </w:p>
    <w:p>
      <w:r>
        <w:rPr>
          <w:b/>
        </w:rPr>
        <w:t>E. 2.1</w:t>
      </w:r>
    </w:p>
    <w:p>
      <w:r>
        <w:t>Compris comme l'un des aspects de la notion générale de procès équitable ancrée à l' art. 29 Cst. , le droit d'être entendu au sens de l' art. 29 al. 2 Cst. (cf. aussi art. 6 par. 1 CEDH ) englobe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143 IV 380 consid. 1.1; 140 I 285 consid. 6.3.1 et les arrêts cités).</w:t>
      </w:r>
    </w:p>
    <w:p>
      <w:r>
        <w:rPr>
          <w:b/>
        </w:rPr>
        <w:t>E. 2.2</w:t>
      </w:r>
    </w:p>
    <w:p>
      <w:r>
        <w:t>En l'espèce, le recourant souhaitait une copie du procès-verbal de l'audience du 28 septembre 2021 afin de s'assurer qu'y figurait l'information selon laquelle l'amende du 27 avril 2020 avait été infligée durant la période de confinement imposée lors de la pandémie liée au COVID-19. Cet élément ressort toutefois bel et bien des faits constatés par la cour cantonale sur lesquels le recourant s'est dûment exprimé. Il ressort au demeurant du jugement entrepris que le recourant a eu la possibilité de se prononcer sur tous les éléments pertinents de la cause et qu'il a amplement fait usage de cette possibilité, de sorte qu'on ne distingue aucune violation de son droit d'être entendu. La cour cantonale n'a pas davantage violé le droit d'être entendu du recourant ni son droit à un procès équitable en ne procédant pas à une audience publique. En effet, la procédure d'appel a été traitée en procédure écrite en application de l' art. 406 al. 1 let . c CPP. Le recourant n'invoque aucune violation du droit fédéral à cet égard. Dûment informé par courrier du 28 janvier 2022 que l'affaire se poursuivrait en procédure écrite (cf. jugement entrepris p. 3), il ne prétend au demeurant pas s'y être opposé ni avoir sollicité des débats. Il s'ensuit que son grief doit être rejeté.</w:t>
      </w:r>
    </w:p>
    <w:p>
      <w:r>
        <w:rPr>
          <w:b/>
        </w:rPr>
        <w:t>E. 3</w:t>
      </w:r>
    </w:p>
    <w:p>
      <w:r>
        <w:t>Le recourant reproche à la cour cantonale d'avoir établi les faits et apprécié les preuves de manière arbitraire.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145 IV 154 consid. 1.1 p. 156).</w:t>
      </w:r>
    </w:p>
    <w:p>
      <w:r>
        <w:t>Lorsque, comme en l'espèce, le recours en matière pénale est dirigé contre une décision d'une autorité de dernière instance cantonale dont le pouvoir d'examen est limité à l'arbitraire en matière de constatation des faits (cf. art. 398 al. 4 CPP ), l'examen du Tribunal fédéral porte concrètement sur l'arbitraire du jugement de l'autorité inférieure, à la lumière des griefs soulevés dans l'acte de recours. Pour se conformer aux exigences de motivation rappelées ci-dessus, le recourant doit exposer pourquoi l'autorité cantonale aurait à tort admis ou nié l'arbitraire dans l'appréciation des preuves faite par l'autorité de première instance. Le Tribunal fédéral se prononce librement sur cette question (arrêts 6B_1441/2020 du 8 octobre 2021 consid. 1.3; 6B_211/2020 du 19 mai 2020 consid. 1.1 et les références citées; cf. ATF 125 I 492 consid. 1a/cc et 1b p. 494).</w:t>
      </w:r>
    </w:p>
    <w:p>
      <w:r>
        <w:rPr>
          <w:b/>
        </w:rPr>
        <w:t>E. 3.2</w:t>
      </w:r>
    </w:p>
    <w:p>
      <w:r>
        <w:t>La cour cantonale a confirmé la condamnation du recourant sur la base des art. 27 al. 1, 90 al. 1 LCR et 79 al. 1 et 2 OSR.</w:t>
      </w:r>
    </w:p>
    <w:p>
      <w:r>
        <w:rPr>
          <w:b/>
        </w:rPr>
        <w:t>E. 3.2.1</w:t>
      </w:r>
    </w:p>
    <w:p>
      <w:r>
        <w:t>L' art. 90 al. 1 LCR prévoit que celui qui viole les règles de la circulation prévues par la loi ou les dispositions d'exécution émanant du Conseil fédéral est puni de l'amende.</w:t>
      </w:r>
    </w:p>
    <w:p>
      <w:r>
        <w:rPr>
          <w:b/>
        </w:rPr>
        <w:t>E. 3.2.2</w:t>
      </w:r>
    </w:p>
    <w:p>
      <w:r>
        <w:t>Aux termes de l' art. 27 al. 1 LCR , chacun se conformera aux signaux et aux marques ainsi qu'aux ordres de la police. Les signaux et les marques priment les règles générales; les ordres de la police ont le pas sur les règles générales, les signaux et les marques. Selon l' art. 79 OSR , les cases de stationnement sont indiquées exclusivement par une marque ou marquées en complément de la signalisation (al. 1). Les cases de stationnement sont délimitées par des lignes continues. A la place des lignes continues, on peut utiliser un marquage partiel. Les marques sont blanches; pour les cases situées dans la "zone bleue", elles sont bleues. Les cases de stationnement blanches ou bleues peuvent également être indiquées par un revêtement particulier qui se distingue nettement de la chaussée (al. 2).</w:t>
      </w:r>
    </w:p>
    <w:p>
      <w:r>
        <w:rPr>
          <w:b/>
        </w:rPr>
        <w:t>E. 3.3</w:t>
      </w:r>
    </w:p>
    <w:p>
      <w:r>
        <w:t>La cour cantonale a considéré qu'à défaut d'éléments permettant de retenir l'arbitraire des autorités précédentes, elle ne pouvait s'écarter de l'état de fait tel qu'établi par celles-ci. Elle a ainsi retenu que les 27 avril et 9 octobre 2020 le recourant avait garé son véhicule en face d'une aire de stationnement de six places. Ce constat ressortait des photos figurant au dossier. Dans ces circonstances, les autorités de première instance pouvaient considérer qu'il avait stationné son véhicule hors des cases de stationnement, soit sur un emplacement non autorisé. Les arguments du recourant n'étaient pas propres à remettre en cause cette appréciation. Contrairement à ce qu'il affirmait, le prétendu mauvais entretien de la route ou de l'aire de stationnement n'était pas tel qu'un usager de la route ne pouvait distinguer les surfaces bitumées de celles constituées en chaille. Les images figurant au dossier étaient à cet égard sans ambiguïté; les juges de première instance pouvaient, sans arbitraire, retenir que les places de stationnement délimitées se distinguaient nettement de la chaussée de l'autre côté de la route sur laquelle le recourant avait stationné. Celui-ci n'avait au demeurant pas démontré que les premières juges avaient retenu arbitrairement que la commune du Landeron avait même pris l'initiative de poser une signalisation préventive pour rappeler aux utilisateurs que les parcelles du domaine public, sur lesquelles le recourant avait stationné, n'étaient pas des places de stationnement. Cet élément était un motif supplémentaire permettant de lui opposer l'existence d'une interdiction de stationner à l'endroit où il avait garé son véhicule, à deux reprises.</w:t>
      </w:r>
    </w:p>
    <w:p>
      <w:r>
        <w:rPr>
          <w:b/>
        </w:rPr>
        <w:t>E. 3.4</w:t>
      </w:r>
    </w:p>
    <w:p>
      <w:r>
        <w:t>En l'espèce, par son argumentation, le recourant ne démontre pas en quoi la cour cantonale aurait à tort nié l'arbitraire dans l'appréciation des preuves à laquelle ont procédé les autorités de première instance. En effet, il se contente de livrer, de manière purement appellatoire, sa propre interprétation du revêtement de l'emplacement de son véhicule et des conséquences qui en résulteraient quant à la possibilité de s'y garer. Ce faisant, il n'expose pas en quoi l'appréciation des premières juges - confirmée par la cour cantonale - qui se fonde principalement sur les photos au dossier pour retenir que le recourant s'est garé hors des cases de stationnement, serait arbitraire. Il en va de même dans la mesure où il fait valoir que plusieurs usagers de la route se stationneraient régulièrement à cet endroit. En tant qu'il soutient par ailleurs que la commune aurait retiré la signalisation préventive, il se fonde sur un élément qui ne ressort pas du jugement cantonal sans démontrer l'arbitraire de son omission.</w:t>
      </w:r>
    </w:p>
    <w:p>
      <w:r>
        <w:t>Il s'ensuit que le grief du recourant doit être rejeté dans la mesure où il est recevable.</w:t>
      </w:r>
    </w:p>
    <w:p>
      <w:r>
        <w:rPr>
          <w:b/>
        </w:rPr>
        <w:t>E. 4</w:t>
      </w:r>
    </w:p>
    <w:p>
      <w:r>
        <w:t>Le recourant conteste le bien-fondé de la première amende infligée, faisant valoir que les amendes d'ordre auraient été supprimées durant la période de confinement liée au COVID-19.</w:t>
      </w:r>
    </w:p>
    <w:p>
      <w:r>
        <w:rPr>
          <w:b/>
        </w:rPr>
        <w:t>E. 4.1</w:t>
      </w:r>
    </w:p>
    <w:p>
      <w:r>
        <w:t>La cour cantonale a écarté le grief du recourant au motif qu'il se révélait sans fondement. Contrairement à ce qu'il prétendait, le Conseil fédéral n'avait pas pris de disposition pour la procédure pénale, ni les amendes d'ordre, dans le cadre de la gestion sanitaire liée au COVID- 19. Si une suspension des poursuites avaient bien été décidée pour tenir compte de la situation exceptionnelle en lien avec la pandémie, il était question des poursuites au sens de la loi fédérale sur la poursuite pour dettes et la faillite.</w:t>
      </w:r>
    </w:p>
    <w:p>
      <w:r>
        <w:rPr>
          <w:b/>
        </w:rPr>
        <w:t>E. 4.2</w:t>
      </w:r>
    </w:p>
    <w:p>
      <w:r>
        <w:t>En l'espèce, le recourant ne discute pas la motivation de la cour cantonale, sauf à indiquer péremptoirement que "[la suspension des amendes d'ordre] était connue de tous, même du policier. Cela n'a rien à voir avec la loi sur la poursuite pour dettes et faillites". Une telle démarche, purement appellatoire, ne répond pas aux exigences de motivation déduites des art. 42 al. 2 et 106 al. 2 LTF; elle est irrecevable, tout comme l'est l'article du journal ARCinfo qu'il produit à l'appui de son grief, en tant qu'il est nouveau (cf. art. 99 al. 1 LTF ).</w:t>
      </w:r>
    </w:p>
    <w:p>
      <w:r>
        <w:rPr>
          <w:b/>
        </w:rPr>
        <w:t>E. 5</w:t>
      </w:r>
    </w:p>
    <w:p>
      <w:r>
        <w:t>Pour le surplus, le recourant ne conteste pas la quotité des amendes infligées ni ne développe aucune argumentation répondant aux exigences de l' art. 42 al. 2 LTF concernant les frais occasionnés par la procédure judiciaire. Il n'y a donc pas lieu d'examiner ces points plus avant.</w:t>
      </w:r>
    </w:p>
    <w:p>
      <w:r>
        <w:rPr>
          <w:b/>
        </w:rPr>
        <w:t>E. 6</w:t>
      </w:r>
    </w:p>
    <w:p>
      <w:r>
        <w:t>Au vu de ce qui précède, le recours doit être rejeté dans la faible mesure de sa recevabilité.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