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903/2008 vom 16. Februar 2009</w:t>
      </w:r>
    </w:p>
    <w:p>
      <w:r>
        <w:t>Bundesgericht, 2009-02-16, FR</w:t>
      </w:r>
    </w:p>
    <w:p>
      <w:r>
        <w:rPr>
          <w:b/>
        </w:rPr>
        <w:t xml:space="preserve">Quelle: </w:t>
      </w:r>
      <w:r>
        <w:t>https://mcp.opencaselaw.ch/entscheid/bger_6B_903_2008</w:t>
      </w:r>
    </w:p>
    <w:p>
      <w:r>
        <w:t>FR: TF 6B 903/2008 du 16 février 2009</w:t>
      </w:r>
    </w:p>
    <w:p>
      <w:r>
        <w:t>IT: TF 6B 903/2008 del 16 febbraio 2009</w:t>
      </w:r>
    </w:p>
    <w:p>
      <w:pPr>
        <w:pStyle w:val="Heading2"/>
      </w:pPr>
      <w:r>
        <w:t>Regeste</w:t>
      </w:r>
    </w:p>
    <w:p>
      <w:r>
        <w:t>Violation simple des règles de la circulation routière; fixation de la peine de travail d'intérêt général; révocation du sursis | Droit pénal (en général)</w:t>
      </w:r>
    </w:p>
    <w:p>
      <w:pPr>
        <w:pStyle w:val="Heading2"/>
      </w:pPr>
      <w:r>
        <w:t>Erwägungen</w:t>
      </w:r>
    </w:p>
    <w:p>
      <w:r>
        <w:rPr>
          <w:b/>
        </w:rPr>
        <w:t>E. 1</w:t>
      </w:r>
    </w:p>
    <w:p>
      <w:r>
        <w:t>Le recourant reproche à la Cour de cassation de ne pas avoir modifié le dispositif de première instance et de ne pas avoir diminué la peine infligée alors qu'elle a supprimé un chef d'accusation.</w:t>
      </w:r>
    </w:p>
    <w:p>
      <w:r>
        <w:rPr>
          <w:b/>
        </w:rPr>
        <w:t>E. 1.1</w:t>
      </w:r>
    </w:p>
    <w:p>
      <w:r>
        <w:t>La Cour de cassation a constaté que le jugement de première instance avait retenu l'application de l' art. 90 ch. 1 LCR , soit la violation simple des règles de la circulation routière, en raison d'un excès de vitesse et d'une perte de maîtrise du véhicule. Elle a relevé que si la perte de maîtrise résultait des faits retenus dans le jugement, notamment par référence à l'ordonnance de renvoi non contestée, il n'en était pas de même de l'excès de vitesse, lequel n'avait pas été envisagé et ne pouvait donc être retenu, faute de renvoi pour cette infraction, qui ne résultait pas même implicitement de la description des faits. Elle a toutefois considéré que la libération du recourant du chef d'accusation d'excès de vitesse ne modifiait en rien le dispositif du jugement entrepris. Elle a en effet jugé que, d'une part, l'infraction simple des règles de la circulation routière était également retenue s'agissant de la perte de maîtrise du véhicule et que, d'autre part, l'excès de vitesse tel qu'il résultait du dossier était si minime qu'il n'avait aucune incidence au regard des autres infractions.</w:t>
      </w:r>
    </w:p>
    <w:p>
      <w:r>
        <w:rPr>
          <w:b/>
        </w:rPr>
        <w:t>E. 1.2</w:t>
      </w:r>
    </w:p>
    <w:p>
      <w:r>
        <w:t>Selon le jugement de première instance, le recourant s'est rendu coupable de violation simple des règles de la circulation pour l'excès de vitesse commis et de violation grave des règles de la circulation pour s'être endormi au volant et avoir perdu la maîtrise de son véhicule (jugement p. 8 consid. 3). Ainsi, contrairement à ce qu'ont retenu les juges cantonaux (cf. supra consid. 1.1), la violation simple visée par l' art. 90 ch. 1 LCR n'a été retenue qu'en raison de l'excès de vitesse, la perte de maîtrise constituant en revanche une violation grave au sens de l' art. 90 ch. 2 LCR . Partant, la Cour de cassation devait modifier le dispositif du jugement de première instance en conséquence, le recourant étant en définitive libéré de l'infraction de violation simple des règles sur la circulation routière. Ce grief est donc admis et l'arrêt attaqué réformé dans le sens de ce considérant.</w:t>
      </w:r>
    </w:p>
    <w:p>
      <w:r>
        <w:rPr>
          <w:b/>
        </w:rPr>
        <w:t>E. 1.3</w:t>
      </w:r>
    </w:p>
    <w:p>
      <w:r>
        <w:t>Lorsqu'à la suite d'un recours, un élément d'appréciation retenu par les premiers juges est écarté, l'autorité ne peut maintenir la peine inchangée sans que cela ne soit justifié par une motivation particulière ( ATF 117 IV 395 consid. 4 p. 397). La Cour cantonale a constaté que, lors de l'instruction, le recourant avait déclaré que son compteur marquait 130 km/h et qu'il devait excéder la vitesse autorisée de quelques km/h. Elle a considéré que cet excès de vitesse - dont elle a libéré le recourant - était si minime qu'il n'avait aucune incidence sur la peine au regard des autres infractions. Cette motivation suffit à maintenir la sanction inchangée. En effet, le recourant a été condamné pour plusieurs infractions (cf. supra consid. A) beaucoup plus importantes, comme les lésions corporelles simples et graves par négligence, la conduite en état d'ébriété qualifié, et la violation grave des règles de la circulation, soit des infractions qui peuvent être toutes punies d'une peine privative de liberté de trois ans au plus ou d'une peine pécuniaire ( art. 125 CP , 91 al. 1 et 90 ch. 2 LCR). L'excès de vitesse, abandonné devant l'autorité de recours, était de moindre gravité et tout à fait secondaire par rapport à ces dernières. Son abandon ne saurait remettre en cause la peine initialement prononcée. Dans ces conditions, la solution de la Cour de cassation ne viole pas le droit fédéral. Le grief est donc rejeté.</w:t>
      </w:r>
    </w:p>
    <w:p>
      <w:r>
        <w:rPr>
          <w:b/>
        </w:rPr>
        <w:t>E. 2</w:t>
      </w:r>
    </w:p>
    <w:p>
      <w:r>
        <w:t>Invoquant l' art. 46 CP , le recourant reproche à la Cour de cassation d'avoir révoqué le sursis qui lui avait été accordé précédemment. Il explique que le premier juge avait la possibilité de procéder comme il l'a fait, soit de révoquer un précédent sursis, puis de fixer une nouvelle peine d'ensemble tout en l'assortissant d'un sursis. Il affirme que le premier juge n'a pas posé de pronostic défavorable, sa volonté étant finalement de le faire bénéficier du sursis non seulement pour la nouvelle peine, mais également pour celle infligée précédemment.</w:t>
      </w:r>
    </w:p>
    <w:p>
      <w:r>
        <w:rPr>
          <w:b/>
        </w:rPr>
        <w:t>E. 2.1</w:t>
      </w:r>
    </w:p>
    <w:p>
      <w:r>
        <w:t>Selon l' art. 46 CP , si, durant le délai d'épreuve, le condamné commet un crime ou un délit et qu'il y a dès lors lieu de prévoir qu'il commettra de nouvelles infractions, le juge révoque le sursis ou le sursis partiel. Il peut modifier le genre de la peine révoquée pour fixer, avec la nouvelle peine, une peine d'ensemble conformément à l'art. 49. Il ne peut toutefois prononcer une peine privative de liberté ferme que si la peine d'ensemble atteint une durée de six mois au moins ou si les conditions prévues à l'art. 41 sont remplies (al. 1). 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 (al. 2).</w:t>
      </w:r>
    </w:p>
    <w:p>
      <w:r>
        <w:rPr>
          <w:b/>
        </w:rPr>
        <w:t>E. 2.2</w:t>
      </w:r>
    </w:p>
    <w:p>
      <w:r>
        <w:t>Le Tribunal de police a révoqué le sursis octroyé précédemment au recourant, relevant que la peine de trois jours d'emprisonnement avec sursis prononcée le 1er septembre 2005 sanctionnait une infraction de même nature et que la condamnation était de peu antérieure aux faits relatifs à la présente procédure. Toutefois, faisant application de l' art. 46 al. 1, seconde phrase, CP , il a fixé une peine d'ensemble conformément à l' art. 49 CP , qu'il a assortie d'un sursis de longue durée, voulant croire que la leçon subie par le recourant était suffisante pour lui faire prendre conscience des conséquences de son comportement. La Cour de cassation a estimé que le premier juge avait, à juste titre, émis un pronostic défavorable à l'encontre du recourant et révoqué le sursis qui lui avait été accordé précédemment, compte tenu de ses antécédents, et notamment du fait qu'il avait récidivé peu après sa dernière condamnation et qu'il avait fait l'objet de deux retraits de permis de conduire entre 2005 et 2006 pour excès de vitesse. Elle a toutefois considéré qu'en réintroduisant le sursis dans le cadre de la nouvelle peine, le Tribunal de police avait mal appliqué la loi, relevant que le juge ne pouvait en effet assortir la peine d'ensemble d'un nouveau sursis puisque cela revenait à dire que, pour la révocation, il existait un pronostic défavorable, mais que dans l'examen de la peine d'ensemble, tel n'était pas le cas. La Cour de cassation a jugé que le premier sursis devait être révoqué et que le recourant ne pouvait d'ailleurs pas non plus bénéficier du sursis pour la nouvelle sanction prononcée à son encontre vu la gravité de son comportement moins d'une année après sa condamnation du 1er septembre 2005 et l'exécution de la peine de trois jours d'emprisonnement ne permettant pas d'éviter un pronostic défavorable.</w:t>
      </w:r>
    </w:p>
    <w:p>
      <w:r>
        <w:rPr>
          <w:b/>
        </w:rPr>
        <w:t>E. 2.3</w:t>
      </w:r>
    </w:p>
    <w:p>
      <w:r>
        <w:t>Contrairement aux affirmations du recourant, il résulte de l'argumentation du Tribunal de police, que celui-ci a clairement posé un pronostic défavorable à l'encontre de l'intéressé, puisqu'il a révoqué le sursis qu'il lui avait été accordé précédemment. Pour le reste, le recourant se contente de souligner la pertinence du raisonnement du premier juge. En revanche, il ne démontre pas, conformément aux exigences minimales de l' art. 42 al. 2 LTF , en quoi la motivation suivie par la Cour de cassation violerait le droit fédéral ou procéderait d'un abus de son pouvoir d'appréciation. Il n'explique pas en quoi elle ne pouvait, comme l'avait fait le Tribunal de police, conclure à un pronostic défavorable et révoquer le sursis à la peine de trois jours d'emprisonnement prononcée le 1er septembre 2005 par le Juge d'instruction de l'arrondissement de La Côte. Il ne prétend pas non plus, ni ne démontre, que la peine de travail d'intérêt général qui lui a été infligée aurait dû être assortie d'un sursis au motif que les conditions y relatives seraient réalisées. Dans ces conditions, le grief doit être rejeté dans la mesure de sa recevabilité.</w:t>
      </w:r>
    </w:p>
    <w:p>
      <w:r>
        <w:rPr>
          <w:b/>
        </w:rPr>
        <w:t>E. 3</w:t>
      </w:r>
    </w:p>
    <w:p>
      <w:r>
        <w:t>En conclusion, le recours est partiellement admis et le chiffre III de l'arrêt attaqué est réformé. Le recourant obtient très partiellement gain de cause. Il peut prétendre à une indemnité de dépens réduite ( art. 68 al. 1 LTF ) et supporte des frais réduits en raison de l'issue du recours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