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901/2013 vom 10. April 2014</w:t>
      </w:r>
    </w:p>
    <w:p>
      <w:r>
        <w:t>Bundesgericht, 2014-04-10, FR</w:t>
      </w:r>
    </w:p>
    <w:p>
      <w:r>
        <w:rPr>
          <w:b/>
        </w:rPr>
        <w:t xml:space="preserve">Quelle: </w:t>
      </w:r>
      <w:r>
        <w:t>https://mcp.opencaselaw.ch/entscheid/bger_6B_901_2013</w:t>
      </w:r>
    </w:p>
    <w:p>
      <w:r>
        <w:t>FR: TF 6B 901/2013 du 10 avril 2014</w:t>
      </w:r>
    </w:p>
    <w:p>
      <w:r>
        <w:t>IT: TF 6B 901/2013 del 10 aprile 2014</w:t>
      </w:r>
    </w:p>
    <w:p>
      <w:pPr>
        <w:pStyle w:val="Heading2"/>
      </w:pPr>
      <w:r>
        <w:t>Regeste</w:t>
      </w:r>
    </w:p>
    <w:p>
      <w:r>
        <w:t>Ordonnance de non-entrée en matière (abus de confiance),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elle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également ATF 138 IV 186 consid. 1.4.1 p. 189).</w:t>
      </w:r>
    </w:p>
    <w:p>
      <w:r>
        <w:rPr>
          <w:b/>
        </w:rPr>
        <w:t>E. 1.2</w:t>
      </w:r>
    </w:p>
    <w:p>
      <w:r>
        <w:t>En l'occurrence, les recourantes affirment avoir des prétentions civiles résultant de la commission d'un abus de confiance sur une partie de l'équipement objet du contrat de location n°010205. Elles relèvent pourtant elles-mêmes que les autorités cantonales ont estimé qu'elles n'étaient plus propriétaires de cet équipement lorsqu'il en a été disposé (recours, p. 5 ch. 3 deuxième tiret). Il leur appartenait donc d'exposer de manière crédible quel droit elles détenaient sur ces biens au moment de la prétendue infraction.</w:t>
      </w:r>
    </w:p>
    <w:p>
      <w:r>
        <w:rPr>
          <w:b/>
        </w:rPr>
        <w:t>E. 1.3</w:t>
      </w:r>
    </w:p>
    <w:p>
      <w:r>
        <w:t>Il résulte en effet de la motivation cantonale que A.________, si elle a un jour été propriétaire des biens litigieux, a cédé cet équipement le 28 mars 2001 à E.________. Elle n'en était donc plus propriétaire lorsqu'il en a été prétendument disposé sans droit soit, selon les recourantes, à une époque en tout cas antérieure à septembre 2011 (cf. arrêt attaqué, p. 2 et 3; recours, p. 4). Les recourantes estiment toutefois que la propriété de cet équipement leur a été automatiquement retransférée par E.________ à l'échéance du contrat de location n°010205. Elles invoquent pour défendre cette thèse l'art. 5 de la convention de cession du 28 mars 2001 et l'art. 5 d'un contrat de financement cadre européen. Ces arguments avaient été soulevés devant l'autorité précédente qui les a écartés (arrêt attaqué, p. 6 et 7) à juste titre. En effet, l'art. 5 de la convention de cession ne prévoit pas un transfert automatique des équipements. Son premier alinéa octroie uniquement à A.________ un droit, dans certaines circonstances, de racheter à E.________ les actifs cédés. A.________ n'indique pas avoir exercé ce droit, affirmant au contraire que le transfert de propriété aurait été automatique. La rétrocession suivant l'utilisation de ce droit est en outre subordonnée au paiement d'une certaine valeur (art. 5 al. 2 de la convention de cession), valeur que A.________ admet implicitement n'avoir pas payée (cf. arrêt attaqué, p. 3). L'alinéa 3 de l'art. 5 de la convention de cession prévoit quant à lui l'engagement de E.________ de restituer l'équipement "au terme de la présente convention soit le 31.12.2006". Un tel engagement ne constitue pas un transfert automatique de propriété. A cela s'ajoute qu'il était subordonné notamment à la condition que l'équipement soit accessible (al. 3). Or les recourantes indiquent n'avoir pas pu examiner ce matériel (recours, p. 4). Ces dernières invoquent également l'art. 5 d'un contrat de financement cadre européen. Outre qu'il est douteux, comme l'a relevé l'autorité précédente, que ce contrat s'applique ici, la disposition en question ne prévoit, ad let. B, qu'un engagement de rachat à l'échéance du "Contrat" - soit du "contrat cadre européen organisant un programme de financement par location" (pièce 6, p. 1) - du matériel loué en vertu dudit "Contrat" (pièce 6, p. 3). L'art. 5 B du contrat de financement cadre européen précise encore qu'un modèle de convention de rachat sera annexé au "Contrat local", indice que le transfert de propriété invoqué par les recourantes n'avait rien d'automatique. Les recourantes parlent d'ailleurs elles-mêmes de "valeur résiduelle de rachat" dans leur recours (p. 4 et 8). Elles reprochent également à l'autorité précédente d'être partie du principe qu'une "convention de rachat" n'avait pas été établie au seul motif qu'elle n'était pas produite, laissant ici également entendre que les biens devaient être rachetés et ne devenaient par conséquent pas automatiquement propriété de l'une ou l'autre des recourantes à un moment donné. Les recourantes n'avancent pas, aux termes de leur recours devant la Cour de céans, davantage d'éléments qui permettraient de penser qu'elles seraient propriétaires des biens sur lesquels aurait porté l'abus de confiance dénoncé. Ce n'est pas non plus en agissant ensemble comme elles le font qu'elles accréditent la thèse que B.________ serait également propriétaire de l'équipement, celle-ci n'étant au surplus signataire ni du contrat de location n°010205 ni de la convention de cession du 28 mars 2001. Force est dès lors de constater que les recourantes n'ont pas exposé de manière plausible qu'elles seraient propriétaires des biens sur lesquels aurait porté l'abus de confiance objet de la plainte et donc quelles prétentions civiles elles pourraient détenir à la suite de cette prétendue infraction. La qualité pour agir ne saurait en conséquence leur être reconnue sur la base de l'art. 81 al. 1 let. b ch. 5 LTF. Il s'ensuit que le recours est irrecevable en tant qu'il porte sur le fond de la cause.</w:t>
      </w:r>
    </w:p>
    <w:p>
      <w:r>
        <w:rPr>
          <w:b/>
        </w:rPr>
        <w:t>E. 1.4</w:t>
      </w:r>
    </w:p>
    <w:p>
      <w:r>
        <w:t>Les recourantes ne dénoncent pas, de manière conforme aux exigences de l' art. 106 al. 2 LTF , une violation de leurs droits de partie à la procédure équivalant à un déni de justice formel, ce qui ne leur permettrait d'ailleurs pas de faire valoir par ce biais, même indirectement, des moyens qui ne peuvent être séparés du fond (cf. ATF 136 IV 29 consid. 1.9 p. 40 et les réf. cit.).</w:t>
      </w:r>
    </w:p>
    <w:p>
      <w:r>
        <w:rPr>
          <w:b/>
        </w:rPr>
        <w:t>E. 2</w:t>
      </w:r>
    </w:p>
    <w:p>
      <w:r>
        <w:t>Le recours est irrecevable. Les recourantes,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