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6B_901/2010 vom 4. November 2010</w:t>
      </w:r>
    </w:p>
    <w:p>
      <w:r>
        <w:t>Bundesgericht, 2010-11-04, DE</w:t>
      </w:r>
    </w:p>
    <w:p>
      <w:r>
        <w:rPr>
          <w:b/>
        </w:rPr>
        <w:t xml:space="preserve">Quelle: </w:t>
      </w:r>
      <w:r>
        <w:t>https://mcp.opencaselaw.ch/entscheid/bger_6B_901_2010</w:t>
      </w:r>
    </w:p>
    <w:p>
      <w:r>
        <w:t>FR: TF 6B_901/2010 du 4 novembre 2010</w:t>
      </w:r>
    </w:p>
    <w:p>
      <w:r>
        <w:t>IT: TF 6B_901/2010 del 4 novembre 2010</w:t>
      </w:r>
    </w:p>
    <w:p>
      <w:pPr>
        <w:pStyle w:val="Heading2"/>
      </w:pPr>
      <w:r>
        <w:t>Erwägungen</w:t>
      </w:r>
    </w:p>
    <w:p>
      <w:r>
        <w:rPr>
          <w:b/>
        </w:rPr>
        <w:t>E. 1</w:t>
      </w:r>
    </w:p>
    <w:p>
      <w:r>
        <w:t>Einmal mehr setzt sich der Beschwerdeführer in seiner 100 Seiten umfassenden Eingabe vor Bundesgericht nicht rechtsgenüglich mit den Erwägungen des angefochtenen Entscheids auseinander und zeigt nicht auf, inwieweit die Vorinstanz damit das schweizerische Recht im Sinne von Art. 95 BGG verletzt haben könnte.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