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8/2021 vom 11. März 2021</w:t>
      </w:r>
    </w:p>
    <w:p>
      <w:r>
        <w:t>Bundesgericht, 2021-03-11, FR</w:t>
      </w:r>
    </w:p>
    <w:p>
      <w:r>
        <w:rPr>
          <w:b/>
        </w:rPr>
        <w:t xml:space="preserve">Quelle: </w:t>
      </w:r>
      <w:r>
        <w:t>https://mcp.opencaselaw.ch/entscheid/bger_6B_8_2021</w:t>
      </w:r>
    </w:p>
    <w:p>
      <w:r>
        <w:t>FR: TF 6B 8/2021 du 11 mars 2021</w:t>
      </w:r>
    </w:p>
    <w:p>
      <w:r>
        <w:t>IT: TF 6B 8/2021 del 11 marzo 2021</w:t>
      </w:r>
    </w:p>
    <w:p>
      <w:pPr>
        <w:pStyle w:val="Heading2"/>
      </w:pPr>
      <w:r>
        <w:t>Regeste</w:t>
      </w:r>
    </w:p>
    <w:p>
      <w:r>
        <w:t>Ordonnance de classement (escroquerie, etc.) | Procédure pénale</w:t>
      </w:r>
    </w:p>
    <w:p>
      <w:pPr>
        <w:pStyle w:val="Heading2"/>
      </w:pPr>
      <w:r>
        <w:t>Erwägungen</w:t>
      </w:r>
    </w:p>
    <w:p>
      <w:r>
        <w:rPr>
          <w:b/>
        </w:rPr>
        <w:t>E. 1</w:t>
      </w:r>
    </w:p>
    <w:p>
      <w:r>
        <w:t>Par arrêt du 2 décembre 2020, la Chambre pénale de recours de la Cour de justice de la République et canton de Genève a rejeté le recours formé par B.A.________ et A.A.________ contre l'ordonnance du 30 avril 2020, par laquelle le Ministère public genevois a classé la procédure dirigée notamment contre C.________ et D.________ pour escroquerie et complicité d'escroquerie ( art. 146 CP ), soustraction de données ( art. 143 CP ), accès indu à un système informatique ( art. 143bis CP ) et infractions à la LCD. En substance, il en ressort que B.A.________ et A.A.________ ont racheté les parts de la société E.________Sàrl, active notamment dans la création et la gestion d'instituts d'amaigrissement et de soin esthétiques, par contrat du 30 mars 2015 et avenant du 6 juillet suivant. Dans ce cadre, ils reprochaient à C.________ et D.________ de s'être unies pour exploiter l'inexpérience et la dépendance de A.A.________ afin de lui faire signer ce contrat à un prix et à des conditions en disproportion évidente avec la valeur réelle des prestations concédées. Ils reprochaient également à D.________ d'avoir piraté leur compte Gmail ayant entraîné un blocage d'appels de certains contacts et l'effacement de courriels. Les époux A.________ alléguaient en outre que C.________ harcelait et dénigrait A.A.________ et s'était appropriée son nom de domaine pour détourner sa clientèle. Ils dénonçaient également des actes de concurrence déloyale notamment pour violation de la zone d'exclusivité prévue contractuellement et danger de confusion. B.A.________ et A.A.________ forment un recours en matière pénale au Tribunal fédéral contre l'arrêt cantonal et concluent, avec suite de frais et dépens, à son annulation et au renvoi de la cause à la cour cantonale pour nouvelle instruction dans le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par rapport à chacune d'elles, en quoi consiste son dommage (arrêts 6B_356/2020 du 24 avril 2020 consid. 2.1; 6B_199/2020 du 9 avril 2020 consid. 1.1; 6B_1444/2019 du 4 mars 2020 consid. 2.1). En outre, lorsque le recours émane de plusieurs parties plaignantes qui procèdent ensemble, elles doivent chacune individuellement exposer quel est leur dommage (arrêts 6B_1026/2019 du 3 octobre 2019 consid. 2.1; 6B_711/2019 du 25 juin 2019 consid. 2.1; 6B_791/2017 du 8 mars 2018 consid. 1.1).</w:t>
      </w:r>
    </w:p>
    <w:p>
      <w:r>
        <w:rPr>
          <w:b/>
        </w:rPr>
        <w:t>E. 2.2</w:t>
      </w:r>
    </w:p>
    <w:p>
      <w:r>
        <w:t>En l'espèce, les recourants se contentent d'affirmer qu'ils sont particulièrement atteints par la décision critiquée. Ils évoquent, sans autre développement sur ce point, une perte du chiffre d'affaires, des préjudices financiers et moraux. Invoquant des infractions distinctes, ils n'indiquent pas, par rapport à chacune d'elles, en quoi consisterait le dommage en résultant. De plus, les recourants, qui agissent conjointement, n'exposent pas en quoi consisterait individuellement le dommage qu'ils auraient chacun subi en relation avec chaque infraction. L'absence d'explications suffisantes sur la question des prétentions civiles exclut leur qualité pour recourir sur le fond de la cause.</w:t>
      </w:r>
    </w:p>
    <w:p>
      <w:r>
        <w:rPr>
          <w:b/>
        </w:rPr>
        <w:t>E. 3</w:t>
      </w:r>
    </w:p>
    <w:p>
      <w:r>
        <w:t>L'hypothèse visée à l'art. 81 al. 1 let. b ch. 6 LTF n'entre pas en considération, les recourants ne soulevant aucun grief quant à leur droit de porter plainte.</w:t>
      </w:r>
    </w:p>
    <w:p>
      <w:r>
        <w:rPr>
          <w:b/>
        </w:rPr>
        <w:t>E. 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Les recourants émettent différentes critiques à l'endroit de la Procureure en charge du dossier en lui reprochant d'avoir tardé dans ses actes d'instruction. Pour autant que ces critiques doivent être comprises comme une demande de récusation de la magistrate ou comme un grief déduit d'une violation du principe de célérité, ils invoquent ces griefs pour la première fois devant le Tribunal fédéral. A tout le moins, ne prétendent-ils pas les avoir invoqués précédemment dans le dossier en cause, sans qu'il ne soit statué à cet égard. Leurs griefs d'ordre procédural sont irrecevables (cf. art. 80 al. 1 LTF ; ATF 140 I 271 consid. 8.4.3 p. 275; 138 I 1 consid. 2.2. p. 4).</w:t>
      </w:r>
    </w:p>
    <w:p>
      <w:r>
        <w:rPr>
          <w:b/>
        </w:rPr>
        <w:t>E. 5</w:t>
      </w:r>
    </w:p>
    <w:p>
      <w:r>
        <w:t>Au vu de ce qui précède, le recours doit être déclaré irrecevable selon la procédure simplifiée prévue par l' art. 108 al. 1 let. a LTF . Les recourants, qui succombent, supportent les frais judiciaires, solidairement entre eux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