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8/2016 vom 17. Januar 2017</w:t>
      </w:r>
    </w:p>
    <w:p>
      <w:r>
        <w:t>Bundesgericht, 2017-01-17, DE</w:t>
      </w:r>
    </w:p>
    <w:p>
      <w:r>
        <w:rPr>
          <w:b/>
        </w:rPr>
        <w:t xml:space="preserve">Quelle: </w:t>
      </w:r>
      <w:r>
        <w:t>https://mcp.opencaselaw.ch/entscheid/bger_6B_8_2016</w:t>
      </w:r>
    </w:p>
    <w:p>
      <w:r>
        <w:t>FR: TF 6B 8/2016 du 17 janvier 2017</w:t>
      </w:r>
    </w:p>
    <w:p>
      <w:r>
        <w:t>IT: TF 6B 8/2016 del 17 gennaio 2017</w:t>
      </w:r>
    </w:p>
    <w:p>
      <w:pPr>
        <w:pStyle w:val="Heading2"/>
      </w:pPr>
      <w:r>
        <w:t>Regeste</w:t>
      </w:r>
    </w:p>
    <w:p>
      <w:r>
        <w:t>Einstellungsverfügung (Drohung, Nötigung) | Strafprozess</w:t>
      </w:r>
    </w:p>
    <w:p>
      <w:pPr>
        <w:pStyle w:val="Heading2"/>
      </w:pPr>
      <w:r>
        <w:t>Erwägungen</w:t>
      </w:r>
    </w:p>
    <w:p>
      <w:r>
        <w:rPr>
          <w:b/>
        </w:rPr>
        <w:t>E. 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(vgl. BGE 141 IV 1 E. 1.1 S. 4 f.). 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je mit Hinweisen). Vorliegend macht der Beschwerdeführer eine Verletzung seiner Parteirechte geltend, indem die Vorinstanz ihre Kognition zu Unrecht eingeschränkt habe (vgl. nachfolgend E. 2). Auf die Beschwerde ist deshalb unabhängig von einer allfälligen Auswirkung des angefochtenen Entscheids auf die Zivilansprüche des Beschwerdeführers einzutreten.</w:t>
      </w:r>
    </w:p>
    <w:p>
      <w:r>
        <w:rPr>
          <w:b/>
        </w:rPr>
        <w:t>E. 2.1</w:t>
      </w:r>
    </w:p>
    <w:p>
      <w:r>
        <w:t>Der Beschwerdeführer rügt mehrfach (Beschwerde, S. 13 f., 20, 24 f., 28), die Vorinstanz verletze Bundesrecht, indem sie ihm wiederholt eine qualifizierte Rechtsrügeverpflichtung zuweise und damit ihre Kognition in unzulässiger Weise beschränke.</w:t>
      </w:r>
    </w:p>
    <w:p>
      <w:r>
        <w:rPr>
          <w:b/>
        </w:rPr>
        <w:t>E. 2.2</w:t>
      </w:r>
    </w:p>
    <w:p>
      <w:r>
        <w:t>Die Vorinstanz gibt zunächst die staatsanwaltschaftliche Begründung der Einstellungsverfügung wieder und erwägt anschliessend zusammengefasst, was der Beschwerdeführer in seiner Beschwerde vom 20. August 2012 dagegen vortrage, sei keine Auseinandersetzung mit den entsprechenden Ausführungen. Zum einen bringe er nicht vor, welche Punkte der Einstellungsverfügung er anfechte und inwiefern diese zu ändern wäre. Zum anderen begründe er nicht substanziiert, dass und inwiefern die Staatsanwaltschaft den Sachverhalt falsch festgestellt oder Beweismittel zu Unrecht nicht abgenommen bzw. falsch gewürdigt habe. Er kritisiere zwar einzelne Ausführungen der Staatsanwaltschaft, doch stelle diese Kritik keine Auseinandersetzung mit der eigentlichen Begründung der Verfahrenseinstellung dar. Auch trage der Beschwerdeführer in seiner Beschwerde nicht vor, weshalb er durch die angebliche Drohung in Angst und Schrecken versetzt worden sein soll bzw. dass und inwieweit die Staatsanwaltschaft den entsprechenden Sachverhalt falsch festgestellt habe. Ebenso wenig mache er geltend, dass das fragliche Tatbestandselement anhand seiner Videoaufnahme nachgewiesen werden könne. Inwiefern die Einstellung betreffend üble Nachrede und Nötigung zu Unrecht erfolgt sei, lege der Beschwerdeführer ebenfalls nicht dar. Die Beschwerde sei deshalb abzuweisen, soweit darauf eingetreten werden könne (Beschluss, S. 6 ff.).</w:t>
      </w:r>
    </w:p>
    <w:p>
      <w:r>
        <w:rPr>
          <w:b/>
        </w:rPr>
        <w:t>E. 2.3</w:t>
      </w:r>
    </w:p>
    <w:p>
      <w:r>
        <w:t>Mit diesen Ausführungen verkennt die Vorinstanz, dass sie Rechtsmittelbehörde mit umfassender Kognition in rechtlicher und tatsächlicher Hinsicht ist (vgl. Art. 398 Abs. 2 und 3 StPO ; BGE 141 IV 244 E. 1.3.3 mit Hinweisen; Urteil 6B_731/2015 vom 14. April 2016 E. 1.2.2). Tritt sie auf eine Berufung ein, fällt sie ein neues, den erstinstanzlichen Entscheid ersetzendes Urteil (vgl. Art. 408 StPO ) und kann sich nicht mit einer Überprüfung der erstinstanzlichen Sachverhaltsfeststellung und Rechtsanwendung begnügen. Daran ändert die Möglichkeit, im Rechtsmittelverfahren auf die Begründung der Erstinstanz zu verweisen, nichts (vgl. BGE 141 IV 244 E. 1.3.3 mit Hinweisen). Indem die Vorinstanz ihre Kognition in unzulässiger Weise beschränkt, verweigert sie dem Beschwerdeführer das rechtliche Gehör (vgl. Urteil 6B_497/2014 vom 6. März 2015 E. 1.4 mit Hinweisen).</w:t>
      </w:r>
    </w:p>
    <w:p>
      <w:r>
        <w:rPr>
          <w:b/>
        </w:rPr>
        <w:t>E. 3</w:t>
      </w:r>
    </w:p>
    <w:p>
      <w:r>
        <w:t>Die Beschwerde ist gutzuheissen, der angefochtene Beschluss aufzuheben und die Sache zur neuen Entscheidung an die Vorinstanz zurückzuweisen. Diese wird unter Anwendung ihrer vollen Kognition zu beurteilen haben, ob die Einstellung des Verfahrens gegen den Beschwerdegegner 2 zu Recht erfolgt ist. Damit erübrigt sich ein Eingehen auf die übrigen Rügen und Einwände des Beschwerdeführers. Bei diesem Ausgang des Verfahrens sind keine Kosten zu erheben ( Art. 66 Abs. 4 BGG ). Der Kanton Luzern hat den Beschwerdeführer für das bundesgerichtliche Verfahren angemessen zu entschädigen ( Art. 68 Abs. 1 und 2 BGG ). Sein Gesuch um unentgeltliche Rechtspflege wird damit gegenstandslos.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