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89/2023 vom 15. Mai 2023</w:t>
      </w:r>
    </w:p>
    <w:p>
      <w:r>
        <w:t>Bundesgericht, 2023-05-15, FR</w:t>
      </w:r>
    </w:p>
    <w:p>
      <w:r>
        <w:rPr>
          <w:b/>
        </w:rPr>
        <w:t xml:space="preserve">Quelle: </w:t>
      </w:r>
      <w:r>
        <w:t>https://mcp.opencaselaw.ch/entscheid/bger_6B_89_2023</w:t>
      </w:r>
    </w:p>
    <w:p>
      <w:r>
        <w:t>FR: TF 6B 89/2023 du 15 mai 2023</w:t>
      </w:r>
    </w:p>
    <w:p>
      <w:r>
        <w:t>IT: TF 6B 89/2023 del 15 maggio 2023</w:t>
      </w:r>
    </w:p>
    <w:p>
      <w:pPr>
        <w:pStyle w:val="Heading2"/>
      </w:pPr>
      <w:r>
        <w:t>Regeste</w:t>
      </w:r>
    </w:p>
    <w:p>
      <w:r>
        <w:t>Violation simple des règles de la circulation routIère; circuler ou stationner avec des plaques de contrôle fixées contrairement aux prescriptions | Infractions</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1.3 133 III 489 consid. 3.1; arrêts 6B_660/2022 du 7 mars 2023 consid. 1; 6B_566/2022 du 18 janvier 2023 consid. 1; 6B_1266/2020 du 25 avril 2022 consid. 2 non publié in ATF 148 IV 256 ). En l'espèce, le recourant se borne à conclure à l'annulation de la décision attaquée et au renvoi de la cause à l'autorité cantonale pour nouvelle décision. Ce faisant, il n'indique pas quelles sont les modifications de la décision attaquée qu'il entend concrètement solliciter sur le fond. Un tel procédé n'est en principe pas admissible. Les motifs du recours permettent toutefois de comprendre que le recourant souhaite obtenir son acquittement pour avoir circulé ou stationné avec des plaques de contrôle fixées contrairement aux prescriptions, considérant qu'il n'a pas enfreint l' art. 57 OCR . Cela suffit tout juste pour satisfaire aux exigences de forme déduites de l' art. 42 al. 1 et 2 LTF (cf. ATF 137 II 313 consid. 1.3).</w:t>
      </w:r>
    </w:p>
    <w:p>
      <w:r>
        <w:rPr>
          <w:b/>
        </w:rPr>
        <w:t>E. 2</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146 IV 88 consid. 1.3.2; 145 IV 228 consid. 2.1 et l'arrêt cité; arrêts 6B_479/2022 du 9 février 2023 consid. 1; 6B_87/2022 du 13 octobre 2022 consid. 1; 6B_965/2014 du 2 août 2016 consid. 2). Il conduit son raisonnement sur la base des faits constatés dans la décision attaquée ( art. 105 al. 1 LTF ); les allégations nouvelles et les offres de preuve nouvelles sont irrecevables ( art. 99 al. 1 LTF ).</w:t>
      </w:r>
    </w:p>
    <w:p>
      <w:r>
        <w:rPr>
          <w:b/>
        </w:rPr>
        <w:t>E. 3.1</w:t>
      </w:r>
    </w:p>
    <w:p>
      <w:r>
        <w:t>Il convient en premier lieu de relever que le recourant avait tout d'abord été amendé par le biais d'une procédure d'amende d'ordre à laquelle il s'est opposé (art. 13 al. 2 de la loi fédérale du 18 mars 2016 sur les amendes d'ordre [LAO; RS 314.1]). Il s'est ensuite également opposé à l'ordonnance pénale du 1er avril 2022 rendue par la Commission de police d'Yverdon-les-Bains, de sorte que le dossier a été transmis au Tribunal de police de l'arrondissement de La Broye et du Nord vaudois (cf. dossier de la Commission de police d'Yverdon-les-Bains, pièce no 4 du dossier cantonal; art. 105 al. 2 LTF ).</w:t>
      </w:r>
    </w:p>
    <w:p>
      <w:r>
        <w:rPr>
          <w:b/>
        </w:rPr>
        <w:t>E. 3.2</w:t>
      </w:r>
    </w:p>
    <w:p>
      <w:r>
        <w:t>Le recourant ne conteste plus devant le Tribunal fédéral avoir stationné hors des cases de stationnement jusqu'à 2 heures (contravention prévue au chiffre 252 let. a de l'annexe 1 de l'ordonnance sur les amendes d'ordre [OAO; RS 314.11] qui renvoie à l' art. 79 al. 6 OSR ). Il conteste en revanche sa condamnation pour avoir circulé ou stationné avec des plaques de contrôle fixées contrairement aux prescriptions. Il considère en substance que les art. 57 OCR et 29 LCR ne s'appliquent qu'aux véhicules en mouvement et qu'il ne pouvait ainsi pas être condamné pour avoir placé sa plaque de contrôle derrière le pare-brise de son véhicule stationné.</w:t>
      </w:r>
    </w:p>
    <w:p>
      <w:r>
        <w:rPr>
          <w:b/>
        </w:rPr>
        <w:t>E. 3.3.1</w:t>
      </w:r>
    </w:p>
    <w:p>
      <w:r>
        <w:t>Selon l' art. 29 LCR , les véhicules ne peuvent circuler que s'ils sont en parfait état de fonctionnement et répondent aux prescriptions. Aux termes de l' art. 57 OCR , le conducteur s'assurera que le véhicule et son chargement répondent aux prescriptions et qu'il dispose des accessoires nécessaires tels que le signal de panne (al. 1). Les plaques de contrôle, les disques de vitesse maximale et les autres signes semblables doivent être bien lisibles; les dispositifs d'éclairage, les catadioptres, les glaces et les miroirs rétroviseurs doivent être propres. Le chargement, les porte-charges, les engins de travail et objets similaires ne doivent masquer ni les plaques de contrôle ni les dispositifs d'éclairage (al. 2).</w:t>
      </w:r>
    </w:p>
    <w:p>
      <w:r>
        <w:rPr>
          <w:b/>
        </w:rPr>
        <w:t>E. 3.3.2</w:t>
      </w:r>
    </w:p>
    <w:p>
      <w:r>
        <w:t>Selon l'art. 1 al. 1 let. a ch. 7 et let. b LAO, quiconque commet une contravention prévue dans une ordonnance d'exécution de la LCR est sanctionné par une amende d'ordre dans une procédure simplifiée. L' art. 1 al. 2 LAO prévoit que la procédure de l'amende d'ordre n'est applicable qu'aux contraventions figurant dans les listes établies en vertu de l' art. 15 LAO . La liste des amendes d'ordre édictée par le Conseil fédéral (sur la base des art. 15 LAO et 1 OAO) est prévue à l'annexe 1 de l'OAO. Selon le ch. 401 de l'annexe 1 de l'OAO, le fait de circuler ou stationner avec des plaques de contrôle fixées contrairement aux prescriptions (art. 45 al. 2, 96, 124 al. 1, 136 al. 4, 162 al. 1, 167 et 185 OETV) est une contravention punissable d'une amende de 60 francs. Le ch. 401 de l'annexe précité renvoie ainsi notamment aux art. 45 al. 2 et 96 OETV . Selon l' art. 45 al. 2 OETV , les plaques de contrôle et les signes distinctifs de nationalité doivent être fixés de manière à être bien lisibles et le plus verticalement possible (30° d'inclinaison vers le haut et 15° vers le bas au maximum). Ils doivent se trouver à une distance du sol comprise entre 0,20 m (bord inférieur) et 1,50 m (bord supérieur), pour autant que des raisons techniques ou les exigences de l'utilisation ne s'y opposent pas. La plaque de contrôle arrière doit être lisible dans l'axe longitudinal du véhicule, et de chaque côté de celui-ci, dans un angle de 30°. D'après l' art. 96 OETV , les voitures automobiles doivent porter à l'endroit approprié les plaques de contrôle prescrites pour l'avant et pour l'arrière.</w:t>
      </w:r>
    </w:p>
    <w:p>
      <w:r>
        <w:rPr>
          <w:b/>
        </w:rPr>
        <w:t>E. 3.4</w:t>
      </w:r>
    </w:p>
    <w:p>
      <w:r>
        <w:t>En l'espèce, après avoir rappelé la teneur de l' art. 57 al. 2 OCR et du ch. 401 de l'annexe 1 de l'OAO, la cour cantonale a d'abord relevé que le recourant ne contestait pas que sa plaque de contrôle avant était coincée de biais derrière le pare-brise, à gauche, sans que l'indication cantonale ne soit lisible. Elle a ensuite considéré que la contravention était déjà réalisée avec le véhicule à l'arrêt, l'entier des indications de la plaque n'étant objectivement pas bien lisibles comme le prescrivait l' art. 57 OCR , en raison de sa position non pas horizontale, mais fortement inclinée, de l'appartenance cantonale masquée, voire des reflets susceptibles d'être causés par le pare-brise.</w:t>
      </w:r>
    </w:p>
    <w:p>
      <w:r>
        <w:rPr>
          <w:b/>
        </w:rPr>
        <w:t>E. 3.5</w:t>
      </w:r>
    </w:p>
    <w:p>
      <w:r>
        <w:t>Comme susmentionné, le recourant considère que les art. 57 OCR et 29 LCR ne s'appliquent qu'aux véhicules en mouvement et qu'il ne pouvait ainsi pas être condamné pour avoir placé sa plaque de contrôle derrière le pare-brise de son véhicule stationné.</w:t>
      </w:r>
    </w:p>
    <w:p>
      <w:r>
        <w:rPr>
          <w:b/>
        </w:rPr>
        <w:t>E. 3.6</w:t>
      </w:r>
    </w:p>
    <w:p>
      <w:r>
        <w:t>En l'occurrence, il est vrai que certains comportements punissables prévus par l'annexe 1 de l'OAO concernent les véhicules en mouvement. C'est le cas par exemple des comportements suivants: "circuler avec des plaques de contrôle pas bien visibles" (ch. 330), "circuler avec une (des) plaque (s) masquée (s) " (ch. 333), ou encore "circuler avec un (des) dispositif (s) d'éclairage masqué (s) " (ch. 334), contraventions qui renvoient toutes à l' art. 57 al. 2 OCR et qui sont inscrites sous la rubrique no 3 intitulée: "Conducteurs de véhicules automobiles; règles de circulation applicables aux véhicules en mouvement". En revanche, il ressort des faits du jugement attaqué, qui ne sont pas contestés par le recourant, que le comportement qui est reproché à ce dernier est celui d'avoir stationné avec des plaques de contrôle fixées contrairement aux prescriptions. Ce comportement punissable est prévu au ch. 401 de l'annexe 1 de l'OAO, qui ne renvoie pas à l' art. 57 al. 2 OCR (cf. supra consid. 3.3.2). Cette contravention est d'ailleurs mentionnée sous la rubrique no 4 de la liste des amendes d'ordre, intitulée: "Conducteurs de véhicules automobiles; prescriptions sur la construction et l'équipement" et s'applique indépendamment du fait que le véhicule soit en mouvement ou à l'arrêt, comme il ressort clairement du texte de la disposition ("circuler ou stationner"; cf. supra consid. 3.3.2). Ainsi, la cour cantonale se méprend lorsqu'elle cite l' art. 57 OCR , disposition qui n'est pas spécifique au cas du recourant. Il n'en demeure pas moins que le recourant méconnaît le fait que l'autorité précédente indique explicitement que la contravention qui lui est reprochée est celle prévue au ch. 401 de l'annexe 1 de l'OAO. La cour cantonale mentionne également que cette disposition renvoie notamment aux art. 45 al. 2 et 96 OETV . Il en va de même du jugement de première instance et de l'ordonnance pénale du 1er avril 2022 qui citent clairement ces deux dispositions, qui sont applicables en l'espèce. En l'occurrence, le recourant admet avoir stationné avec sa plaque de contrôle avant placée derrière son pare-brise. Il ne conteste pas que cette dernière n'était pas bien visible en raison de sa position non pas horizontale, mais fortement inclinée, et de l'appartenance cantonale masquée, comme l'a retenu la cour cantonale. Ce comportement suffit pour considérer que le recourant a stationné avec sa plaque de contrôle avant fixée contrairement aux prescriptions prévues à l' art. 45 al. 2 OETV . Pour le reste, le recourant ne conteste pas que ladite plaque de contrôle n'était pas placée à l'endroit approprié au sens de l' art. 96 OETV . Le fait que la plaque arrière était bien visible et que l'immatriculation avait permis à l'agent de sécurité de verbaliser le recourant ne change rien à cette constatation. Par conséquent, il y a lieu de retenir, par substitution de motifs, que le recourant, en stationnant son véhicule automobile avec sa plaque de contrôle fixée contrairement aux prescriptions, a violé les art. 45 al. 2 et 96 OETV . A toutes fins utiles, il est relevé que l'ordonnance pénale du 1er avril 2022 décrit de manière précise le comportement reproché au recourant et cite les dispositions topiques ( art. 45 al. 2 et 96 OETV ), ce qui exclut une violation du principe d'accusation (cf. art. 9 cum 356 al. 1 CPP).</w:t>
      </w:r>
    </w:p>
    <w:p>
      <w:r>
        <w:rPr>
          <w:b/>
        </w:rPr>
        <w:t>E. 3.7</w:t>
      </w:r>
    </w:p>
    <w:p>
      <w:r>
        <w:t>Il s'ensuit que la cour cantonale pouvait condamner le recourant pour violation simple des règles de la circulation routière ( art. 90 al. 1 LCR cum art. 45 al. 2 et 96 OETV ).</w:t>
      </w:r>
    </w:p>
    <w:p>
      <w:r>
        <w:rPr>
          <w:b/>
        </w:rPr>
        <w:t>E. 4</w:t>
      </w:r>
    </w:p>
    <w:p>
      <w:r>
        <w:t>Le recours est rejeté dans la mesure où il est recevable. Le recourant, qui succombe, supporte les frais judiciaires ( art. 66 al. 1 LTF ). La cause étant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