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899/2019 vom 12. November 2019</w:t>
      </w:r>
    </w:p>
    <w:p>
      <w:r>
        <w:t>Bundesgericht, 2019-11-12, FR</w:t>
      </w:r>
    </w:p>
    <w:p>
      <w:r>
        <w:rPr>
          <w:b/>
        </w:rPr>
        <w:t xml:space="preserve">Quelle: </w:t>
      </w:r>
      <w:r>
        <w:t>https://mcp.opencaselaw.ch/entscheid/bger_6B_899_2019</w:t>
      </w:r>
    </w:p>
    <w:p>
      <w:r>
        <w:t>FR: TF 6B 899/2019 du 12 novembre 2019</w:t>
      </w:r>
    </w:p>
    <w:p>
      <w:r>
        <w:t>IT: TF 6B 899/2019 del 12 novembre 2019</w:t>
      </w:r>
    </w:p>
    <w:p>
      <w:pPr>
        <w:pStyle w:val="Heading2"/>
      </w:pPr>
      <w:r>
        <w:t>Regeste</w:t>
      </w:r>
    </w:p>
    <w:p>
      <w:r>
        <w:t>Ordonnnace de non-entrée en matière (abus de confiance, etc.); irrecevabilité formelle du recours en matière pénale | Procédure pénale</w:t>
      </w:r>
    </w:p>
    <w:p>
      <w:pPr>
        <w:pStyle w:val="Heading2"/>
      </w:pPr>
      <w:r>
        <w:t>Erwägungen</w:t>
      </w:r>
    </w:p>
    <w:p>
      <w:r>
        <w:rPr>
          <w:b/>
        </w:rPr>
        <w:t>E. 1</w:t>
      </w:r>
    </w:p>
    <w:p>
      <w:r>
        <w:t>Par arrêt du 5 juillet 2019, la Chambre pénale de recours de la Cour de justice de la République et canton de Genève a rejeté le recours formé par A.________ contre l'ordonnance rendue le 3 décembre 2018 par laquelle le Ministère public genevois a refusé d'entrer en matière sur la plainte déposée par la prénommée le 4 octobre 2018. A.________ forme un recours au Tribunal fédéral contre l'arrêt précité. En substance, elle conclut à ce qu'il soit constaté que sa plainte concernait les infractions d'abus de confiance et d'utilisation frauduleuse d'un ordinateur, qu'elle concernait donc une autre infraction que sa plainte du 27 octobre 2017, que le principe ne bis in idem ne s'appliquait pas " tant que l'infraction d'abus de confiance prévue à l'article 138, paragraphe 2 du Code pénal est une infraction continue qui n'a pas encore été épuisée " et à ce qu'il soit ordonné la réouverture de la poursuite pénale pour les infractions aux art. 138 al. 2 et 147 al. 2 CP.</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La recourante ne se détermine nullement sur un éventuel tort moral ou dommage,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 Pour autant que l'on comprenne l'argumentation de la recourante, elle soutient, se référant à la jurisprudence de la CourEDH, que la cour cantonale aurait mal appliqué le principe ne bis in idem . Outre que son grief ne répond pas aux exigences de motivation accrues de l' art. 106 al. 2 LTF , ses développements ne visent qu'à établir ses accusations. Elle ne fait ainsi valoir aucun moyen qui peut être séparé du fond et ses griefs ne sauraient fonder sa qualité pour recourir.</w:t>
      </w:r>
    </w:p>
    <w:p>
      <w:r>
        <w:rPr>
          <w:b/>
        </w:rPr>
        <w:t>E. 3</w:t>
      </w:r>
    </w:p>
    <w:p>
      <w:r>
        <w:t>Faute de satisfaire aux conditions de recevabilité d'un recours en matière pénale au Tribunal fédéral (art. 42 al. 1 et 2 et 106 al. 2 LTF), le recours doit être écarté en application de l' art. 108 al. 1 let. a et b LTF . 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