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6B_898/2017 vom 8. März 2018</w:t>
      </w:r>
    </w:p>
    <w:p>
      <w:r>
        <w:t>Bundesgericht, 2018-03-08, FR</w:t>
      </w:r>
    </w:p>
    <w:p>
      <w:r>
        <w:rPr>
          <w:b/>
        </w:rPr>
        <w:t xml:space="preserve">Quelle: </w:t>
      </w:r>
      <w:r>
        <w:t>https://mcp.opencaselaw.ch/entscheid/bger_6B_898_2017</w:t>
      </w:r>
    </w:p>
    <w:p>
      <w:r>
        <w:t>FR: TF 6B_898/2017 du 8 mars 2018</w:t>
      </w:r>
    </w:p>
    <w:p>
      <w:r>
        <w:t>IT: TF 6B_898/2017 del 8 marzo 2018</w:t>
      </w:r>
    </w:p>
    <w:p>
      <w:pPr>
        <w:pStyle w:val="Heading2"/>
      </w:pPr>
      <w:r>
        <w:t>Erwägungen</w:t>
      </w:r>
    </w:p>
    <w:p>
      <w:r>
        <w:rPr>
          <w:b/>
        </w:rPr>
        <w:t>E. 1</w:t>
      </w:r>
    </w:p>
    <w:p>
      <w:r>
        <w:t>Les recours, dirigés contre la même décision, portent sur le même complexe de faits et ont un contenu identique. Il se justifie de les joindre et de statuer par une seule décision ( art. 71 LTF et 24 PCF).</w:t>
      </w:r>
    </w:p>
    <w:p>
      <w:r>
        <w:rPr>
          <w:b/>
        </w:rPr>
        <w:t>E. 2</w:t>
      </w:r>
    </w:p>
    <w:p>
      <w:r>
        <w:t>Le Tribunal fédéral examine d'office et librement la recevabilité des recours qui lui sont soumis ( ATF 142 IV 196 consid. 1 p. 197).</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Lorsque le recours émane de plusieurs parties plaignantes qui procèdent ensemble, elles doivent chacune individuellement exposer quel est leur dommage (cf. arrêt 6B_9/2016 du 21 juillet 2016 consid. 1.3). En outre, si la partie plaignante invoque des infractions distinctes, elle doit mentionner par rapport à chacune d'elles en quoi consiste son dommage. Si le dommage n'est motivé qu'en ce qui concerne l'une des infractions, le recours est irrecevable pour les autres infractions (cf. arrêt 6B_1100/2016 du 25 octobre 2017 consid. 1.2).</w:t>
      </w:r>
    </w:p>
    <w:p>
      <w:r>
        <w:rPr>
          <w:b/>
        </w:rPr>
        <w:t>E. 2.2</w:t>
      </w:r>
    </w:p>
    <w:p>
      <w:r>
        <w:t>S'agissant de l'infraction d'escroquerie, il est fait état d'une atteinte aux intérêts financiers de la recourante, en ce que les montants des cessions figurent toujours au passif de ses comptes, et du recourant, correspondant à la différence entre les prix de cessions de sociétés figurant dans le contrat du 6 juillet 2012, fixé à 2'850'000 fr., et leurs valeurs effectives qui étaient</w:t>
      </w:r>
    </w:p>
    <w:p>
      <w:r>
        <w:t>" très très largement inférieures, voire nulles " . Ce faisant, les recourants ne chiffrent pas leurs dommages respectifs et n'exposent pas dans quelle mesure ils auraient personnellement subi un préjudice. Il ressort toutefois de l'ordonnance de non-entrée en matière que chacun d'eux a investi différentes sommes dans la société, et ce sur la base de comportements qui relèvent, selon les recourants, de l'escroquerie. La question de savoir si les recourants ont suffisamment motivé leur qualité pour recourir peut souffrir de demeurer indécise au vu du sort des recours.</w:t>
      </w:r>
    </w:p>
    <w:p>
      <w:r>
        <w:t>Les mémoires de recours ne contiennent aucune indication quant à un éventuel dommage découlant de l'infraction de faux dans les titres reprochée à l'intimé. Un tel dommage ne saurait se déduire sans ambiguïté de l'infraction en cause, de sorte que les recours sont irrecevables sur ce point.</w:t>
      </w:r>
    </w:p>
    <w:p>
      <w:r>
        <w:rPr>
          <w:b/>
        </w:rPr>
        <w:t>E. 3</w:t>
      </w:r>
    </w:p>
    <w:p>
      <w:r>
        <w:t>Les recourants reprochent à l'autorité précédente d'avoir violé l' art. 310 CPP en confirmant l'ordonnance de non-entrée en matière sans procéder à une investigation plus poussée. En tant que les recourants prétendent avoir été victimes d'une tromperie astucieuse, l'on en déduit qu'ils font valoir une violation de l' art. 146 CP (escroquerie).</w:t>
      </w:r>
    </w:p>
    <w:p>
      <w:r>
        <w:rPr>
          <w:b/>
        </w:rPr>
        <w:t>E. 3.1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6B_427/2017 du 15 novembre 2017 consid. 2.1 et la référence citée).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2.2.1 p. 243; 138 IV 86 consid. 4.1.2 p. 91; 186 consid. 4.1 p. 190).</w:t>
      </w:r>
    </w:p>
    <w:p>
      <w:r>
        <w:rPr>
          <w:b/>
        </w:rPr>
        <w:t>E. 3.2</w:t>
      </w:r>
    </w:p>
    <w:p>
      <w:r>
        <w:t>L' 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80 s.).</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 plus récemment: arrêt 6B_139/2016 du 21 novembre 2016 consid. 3.1).</w:t>
      </w:r>
    </w:p>
    <w:p>
      <w:r>
        <w:rPr>
          <w:b/>
        </w:rPr>
        <w:t>E. 3.3</w:t>
      </w:r>
    </w:p>
    <w:p>
      <w:r>
        <w:t>L'autorité précédente a rappelé que le recourant était titulaire du brevet fédéral de comptable depuis 1985, exploitant une fiduciaire depuis 1997, administrateur d'au moins dix sociétés, expérimenté dans le financement de sociétés et la recherche de financements et avait été mis en relation avec l'intimé par l'entremise d'un avocat. Le recourant avait admis que la constitution de la société était intervenue sans qu'il se soit fait remettre les états financiers et qu'il avait investi des capitaux sans prendre connaissance de la situation des cliniques à reprendre et sans faire expertiser le matériel en place. Il n'avait consciemment, pas veillé à établir ou faire établir, avant la signature des contrats de reprise, un inventaire de l'activité des différentes sociétés, au motif que cela faisait partie des risques inhérents à une telle reprise. La confiance témoignée à l'intimé et l'état d'urgence invoqués pour expliquer la renonciation aux contrôles étaient loin de pouvoir justifier un comportement aussi approximatif de la part d'un professionnel de la comptabilité, expérimenté dans le financement et le redressement de sociétés, dès lors qu'il savait que le groupe B.________ était en proie à de graves difficultés depuis plusieurs années. Le recourant s'était dispensé de la mise en oeuvre de tout processus de " due diligence ". Constatant également que les recourants avaient attendu environ trois ans avant d'agir au pénal et que la société était alors tout à fait assainie, son redressement s'avérant très prometteur, l'autorité cantonale a en définitive confirmé qu'une condamnation pour escroquerie n'apparaissait pas plus voire aussi vraisemblable qu'un acquittement.</w:t>
      </w:r>
    </w:p>
    <w:p>
      <w:r>
        <w:t>L'autorité précédente a considéré qu'à défaut de documents fiables et d'éléments significatifs produits par les recourants, la situation ne rendait que fort aléatoire une recherche peu déterminée de moyens de preuve, près de cinq ans après les faits. Elle ne voyait guère comment ceux qui contrôlaient C.________ SA pouvaient fournir encore des éléments susceptibles de charger l'intimé voire de les incriminer eux-mêmes dans la machination dont les recourants se prétendaient victimes. Il en allait de même s'agissant de tiers (notamment employés), au sujet desquels les recourants étaient restés vagues.</w:t>
      </w:r>
    </w:p>
    <w:p>
      <w:r>
        <w:rPr>
          <w:b/>
        </w:rPr>
        <w:t>E. 3.4</w:t>
      </w:r>
    </w:p>
    <w:p>
      <w:r>
        <w:t>Sur plusieurs pages, les recourants livrent une présentation personnelle des faits, de leur chronologie et en déduisent des circonstances propres à inspirer confiance, sans invoquer l'arbitraire dans l'établissement des faits et l'appréciation des preuves. Purement appellatoire, ce procédé est irrecevable (cf. art. 97 al. 1, 105 al. 1 et 106 LTF; ATF 141 IV 249 consid. 1.3.1 p. 253). Par ailleurs, tant l'expérience du recourant en matière de comptabilité et financement que sa renonciation volontaire à toute forme de vérification et sa conscience des risques liés à une reprise de société ne sont pas remises en cause. Or, ces éléments suffisent à exclure l'astuce, dès lors que le recourant n'a pas observé les mesures de prudence élémentaires que l'on pouvait attendre de lui dans les circonstances du cas d'espèce. Cela étant, l'autorité précédente pouvait, sans violer le droit fédéral confirmer que les éléments constitutifs d'escroquerie n'étaient manifestement pas réunis.</w:t>
      </w:r>
    </w:p>
    <w:p>
      <w:r>
        <w:rPr>
          <w:b/>
        </w:rPr>
        <w:t>E. 3.5</w:t>
      </w:r>
    </w:p>
    <w:p>
      <w:r>
        <w:t>En tant que les recourants prétendent qu'il n'y a pas eu d'enquête digne de ce nom et qu'il aurait fallu investiguer davantage (audition d'autres intéressés), ils omettent que le propre de l'ordonnance de non-entrée en matière est que celle-ci se fonde sur la dénonciation ou le rapport de police. Pour autant qu'il faille déduire des mémoires de recours que les recourants font valoir une violation de leur droit d'être entendus quant aux mesures d'instruction entreprises, leur grief est insuffisamment motivé et n'est pas dirigé contre la décision cantonale. Il est partant irrecevable ( art. 106 al. 2 LTF ).</w:t>
      </w:r>
    </w:p>
    <w:p>
      <w:r>
        <w:rPr>
          <w:b/>
        </w:rPr>
        <w:t>E. 4</w:t>
      </w:r>
    </w:p>
    <w:p>
      <w:r>
        <w:t>Au vu de ce qui précède, les recours doivent être rejetés dans la mesure où ils sont recevables. Les recourants, qui succombent, doivent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