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897/2019 vom 9. Januar 2020</w:t>
      </w:r>
    </w:p>
    <w:p>
      <w:r>
        <w:t>Bundesgericht, 2020-01-09, DE</w:t>
      </w:r>
    </w:p>
    <w:p>
      <w:r>
        <w:rPr>
          <w:b/>
        </w:rPr>
        <w:t xml:space="preserve">Quelle: </w:t>
      </w:r>
      <w:r>
        <w:t>https://mcp.opencaselaw.ch/entscheid/bger_6B_897_2019</w:t>
      </w:r>
    </w:p>
    <w:p>
      <w:r>
        <w:t>FR: TF 6B 897/2019 du 9 janvier 2020</w:t>
      </w:r>
    </w:p>
    <w:p>
      <w:r>
        <w:t>IT: TF 6B 897/2019 del 9 gennaio 2020</w:t>
      </w:r>
    </w:p>
    <w:p>
      <w:pPr>
        <w:pStyle w:val="Heading2"/>
      </w:pPr>
      <w:r>
        <w:t>Regeste</w:t>
      </w:r>
    </w:p>
    <w:p>
      <w:r>
        <w:t>Widerhandlung gegen das Waffengesetz etc.; Unverwertbarkeit von Beweismitteln | Straftaten</w:t>
      </w:r>
    </w:p>
    <w:p>
      <w:pPr>
        <w:pStyle w:val="Heading2"/>
      </w:pPr>
      <w:r>
        <w:t>Erwägungen</w:t>
      </w:r>
    </w:p>
    <w:p>
      <w:r>
        <w:rPr>
          <w:b/>
        </w:rPr>
        <w:t>E. 1</w:t>
      </w:r>
    </w:p>
    <w:p>
      <w:r>
        <w:t>Der Beschwerdeführer rügt, die Verurteilungen basierten auf einer unzulässigen Hausdurchsuchung, welche zur Aufklärung einer Serie zerstochener Autopneus, aber ohne hinreichenden Tatverdacht gegen ihn durchgeführt worden sei. Die anlässlich der Durchsuchung sichergestellten Waffen und Betäubungsmittel dürften daher nicht verwertet werden.</w:t>
      </w:r>
    </w:p>
    <w:p>
      <w:r>
        <w:rPr>
          <w:b/>
        </w:rPr>
        <w:t>E. 1.1.1</w:t>
      </w:r>
    </w:p>
    <w:p>
      <w:r>
        <w:t>Gemäss Art. 197 Abs. 1 StPO können Zwangsmassnahmen ( Art. 196-298 StPO )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erheblich und konkreter Natur sein, um einen hinreichenden Tatverdacht begründen zu können (vgl. BGE 141 IV 87 E. 1.3.1; 137 IV 122 E. 3.2; je mit Hinweisen).</w:t>
      </w:r>
    </w:p>
    <w:p>
      <w:r>
        <w:rPr>
          <w:b/>
        </w:rPr>
        <w:t>E. 1.1.2</w:t>
      </w:r>
    </w:p>
    <w:p>
      <w:r>
        <w:t>Nach Art. 244 Abs. 2 lit. b StPO dürfen Häuser, Wohnungen und andere nicht allgemein zugängliche Räume ohne Einwilligung der berechtigten Person durchsucht werden, wenn zu vermuten ist, dass in diesen Räumen u.a. Tatspuren oder zu beschlagnahmende Gegenstände oder Vermögenswerte vorhanden sind. Bei der Durchsuchung zufällig entdeckte Gegenstände, die mit der abzuklärenden Straftat nicht in Zusammenhang stehen, aber auf eine andere Straftat hinweisen, werden gemäss Art. 243 Abs. 1 StPO sichergestellt. Zufallsfunde können ohne Einschränkungen Anlass zur Eröffnung eines neuen Strafverfahrens geben und in diesem als Beweismittel verwendet werden, soweit die ursprüngliche Massnahme rechtmässig war. War die Massnahme, die zum Zufallsfund führte, rechtswidrig, dürfen die Ergebnisse nur unter den Einschränkungen von Art. 141 Abs. 4 i.V.m. Art. 141 Abs. 2 StPO verwertet werden (Urteil 6B_24/25/26/27/28/2019 vom 3. Oktober 2019 E. 2.3 mit Hinweisen).</w:t>
      </w:r>
    </w:p>
    <w:p>
      <w:r>
        <w:rPr>
          <w:b/>
        </w:rPr>
        <w:t>E. 1.1.3</w:t>
      </w:r>
    </w:p>
    <w:p>
      <w:r>
        <w:t>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verwertbar (Abs. 3). Ermöglichte ein Beweis, der nach Absatz 2 nicht verwertet werden darf, die Erhebung eines weiteren Beweises, so ist dieser nicht verwertbar, wenn er ohne die vorhergehende Beweiserhebung nicht möglich gewesen wäre (Abs. 4).</w:t>
      </w:r>
    </w:p>
    <w:p>
      <w:r>
        <w:rPr>
          <w:b/>
        </w:rPr>
        <w:t>E. 1.2</w:t>
      </w:r>
    </w:p>
    <w:p>
      <w:r>
        <w:t>Es ist unbestritten, dass zwischen dem 8. Juli 2016 und dem 18. Dezember 2016 in den Kreisen 3 und 9 der Stadt Zürich eine Serie von Sachbeschädigungen infolge zerstochener Autopneus stattfand. Ebenso unbestritten ist, dass der Beschwerdeführer am 12. Oktober 2016 von einer in den genannten Quartieren durchgeführten Polizeipatrouille angehalten und kontrolliert wurde, wobei er ein - bereits damals als Tatwerkzeug nicht in Frage kommendes - Jagd- und Fischermesser sowie ein sog. Multitoolgerät auf sich trug. Beides wurde ihm nach der Kontrolle zurückgegeben. Die Vorinstanz kommt unter Verweis auf das Erstgericht zum Schluss, die am 1. Juni 2017 seitens der Staatsanwaltschaft angeordnete und am 4. Juli durchgeführte Hausdurchsuchung sei "aufgrund der gesamten Umstände, mithin der Kontrollörtlichkeit, dem Signalement, dem Verhalten des Beschuldigten vor der Polizeikontrolle und dem Messerfund," gerechtfertigt gewesen.</w:t>
      </w:r>
    </w:p>
    <w:p>
      <w:r>
        <w:rPr>
          <w:b/>
        </w:rPr>
        <w:t>E. 1.3.1</w:t>
      </w:r>
    </w:p>
    <w:p>
      <w:r>
        <w:t>Wie die Vorinstanz zutreffend erwägt, lag es unter den vorgenannten Umständen nahe, den Täter der Sachbeschädigungen im Umfeld der davon betroffenen Quartiere zu vermuten und anzunehmen, dass er am ehesten dort auf frischer Tat ertappt werden könnte. Es ist denn auch unbestritten, dass die tatort- und tatzeitnahe Anhaltung des Beschwerdeführers rechtens war. Dies gilt ebenso für die Feststellung der Vorinstanz, wonach für die Rechtmässigkeit der strittigen Hausdurchsuchung alle bis zu deren Anordnung vorliegenden Ermittlungsergebnisse berücksichtigt werden durften. Die Vorinstanz nennt indes keine solchen Erkenntnisse. Sie bezieht sich in ihren Erwägungen ausschliesslich auf Umstände bzw. Gründe, die zur Anhaltung und Kontrolle des Beschwerdeführers im Oktober 2016 führten. So macht sie geltend, gemäss der einzig verfügbaren Zeugenaussage habe es sich beim Verdächtigen um einen Mann auf einem Fahrrad gehandelt, wobei dessen - von derjenigen des Beschwerdeführers abweichenden - Haarfarbe keine entscheidende Bedeutung zukomme. Beträchtlich und letztlich entscheidend zum Nachteil des Beschwerdeführers falle ferner ins Gewicht, dass er sich im Vorfeld seiner Anhaltung durch die Polizei am 12. Oktober 2016 verdächtig benommen habe, indem er bei deren Erblicken sein Fahrrad gewendet und mit erhöhtem Tempo zu fliehen versucht habe. Dies mag zwar seine damalige Anhaltung legitimieren. Hingegen leuchtet nicht ein, weshalb das möglicherweise verdächtige Verhalten des Beschwerdeführers anlässlich einer Polizeikontrolle die Durchsuchung von dessen Wohnung rund neun Monate später rechtfertigen soll. Daran ändert das Auffinden zweier Messer, wovon eines als Tatwerkzeug zudem von vornherein ausschied (vgl. oben E. 1.2), offensichtlich ebenso nichts wie die Tatsache, dass der Beschwerdeführer bei seiner Anhaltung angegeben haben soll, er sei ein Waffensammler. Gestützt darauf mag allenfalls nahe liegen, dass er über weitere als die damals festgestellten Waffen verfügt. Es bringt ihn aber nicht konkret mit den beanzeigten Sachbeschädigungen in Verbindung, was die Vorinstanz nicht aufzeigt. Gleiches gilt für den Umstand, dass der Beschwerdeführer, seine Mutter oder ein Kollege in einem von den Sachbeschädigungen betroffenen Quartiere wohnen. Entgegen der von der Vorinstanz scheinbar vertretenen Auffassung kann keine Rede davon sein, dass sich damit ein Tatverdacht gegen den Beschwerdeführer verdichtet hätte. Vielmehr handelt es sich dabei um allgemeine Tatsachen, blosse Vermutungen und einen Generalverdacht. Solches genügt zur Begründung einer Hausdurchsuchung, wobei es sich um einen erheblichen Eingriff in die persönliche Freiheit des Betroffenen handelt, klarerweise nicht.</w:t>
      </w:r>
    </w:p>
    <w:p>
      <w:r>
        <w:rPr>
          <w:b/>
        </w:rPr>
        <w:t>E. 1.3.2</w:t>
      </w:r>
    </w:p>
    <w:p>
      <w:r>
        <w:t>Nach dem Gesagten wird die Vorinstanz zu prüfen haben, ob die anlässlich der unrechtmässigen Hausdurchsuchung vorgefundenen Beweise ausnahmsweise nach Art. 141 Abs. 2 StPO zum Nachteil des Beschwerdeführers verwertbar sind (oben E. 1.1.3).</w:t>
      </w:r>
    </w:p>
    <w:p>
      <w:r>
        <w:rPr>
          <w:b/>
        </w:rPr>
        <w:t>E. 2</w:t>
      </w:r>
    </w:p>
    <w:p>
      <w:r>
        <w:t>Die Beschwerde ist gutzuheissen. Ausgangsgemäss sind keine Kosten zu erheben und hat der Beschwerdeführer zulasten des Kantons Zürich Anspruch auf eine angemessene Parteientschädigung (Art. 66 Abs. 1 und 4,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