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6B_895/2020 vom 4. Februar 2021</w:t>
      </w:r>
    </w:p>
    <w:p>
      <w:r>
        <w:t>Bundesgericht, 2021-02-04, FR</w:t>
      </w:r>
    </w:p>
    <w:p>
      <w:r>
        <w:rPr>
          <w:b/>
        </w:rPr>
        <w:t xml:space="preserve">Quelle: </w:t>
      </w:r>
      <w:r>
        <w:t>https://mcp.opencaselaw.ch/entscheid/bger_6B_895_2020</w:t>
      </w:r>
    </w:p>
    <w:p>
      <w:r>
        <w:t>FR: TF 6B_895/2020 du 4 février 2021</w:t>
      </w:r>
    </w:p>
    <w:p>
      <w:r>
        <w:t>IT: TF 6B_895/2020 del 4 febbraio 2021</w:t>
      </w:r>
    </w:p>
    <w:p>
      <w:pPr>
        <w:pStyle w:val="Heading2"/>
      </w:pPr>
      <w:r>
        <w:t>Erwägungen</w:t>
      </w:r>
    </w:p>
    <w:p>
      <w:r>
        <w:rPr>
          <w:b/>
        </w:rPr>
        <w:t>E. 1</w:t>
      </w:r>
    </w:p>
    <w:p>
      <w:r>
        <w:t>Le recourant fait valoir que l'acte d'accusation du 9 décembre 2019, sur lequel repose sa condamnation, est nul, la cour cantonale ayant outrepassé ses droits et violé les règles de la procédure pénale en renvoyant l'acte d'accusation, modifié une première fois le 21 octobre 2019, au ministère public pour une deuxième modification, cela après la clôture des débats et alors qu'elle se trouvait en phase de délibérations. Il soutient qu'un tel renvoi ne se justifiait pas en vertu de l' art. 349 CPP car cette disposition permet uniquement de compléter les preuves.</w:t>
      </w:r>
    </w:p>
    <w:p>
      <w:r>
        <w:rPr>
          <w:b/>
        </w:rPr>
        <w:t>E. 1.1</w:t>
      </w:r>
    </w:p>
    <w:p>
      <w:r>
        <w:t>Conformément à l' art. 9 CPP , qui consacre la maxime d'accusation,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(arrêts 6B_815/2020 du 22 décembre 2020 consid. 3.1; 6B_1023/2017 du 25 avril 2018 consid. 1.1 non publié aux ATF 144 IV 189 ).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 6B_815/2020 du 22 décembre 2020 consid. 3.1). L'acte d'accusation définit l'objet du procès et sert également à informer le prévenu (fonction de délimitation et d'information) ( ATF 143 IV 63 consid. 2.2 p. 65; 141 IV 132 consid. 3.4.1 p. 142 s. et les références citées).</w:t>
      </w:r>
    </w:p>
    <w:p>
      <w:r>
        <w:rPr>
          <w:b/>
        </w:rPr>
        <w:t>E. 1.2</w:t>
      </w:r>
    </w:p>
    <w:p>
      <w:r>
        <w:t>La cour cantonale a retenu que l'acte d'accusation, dans sa version du 21 octobre 2019, décrivait les faits d'une façon certes sommaire mais suffisante, la mise à profit du lien de dépendance et l'intention ressortant implicitement de la description des faits. Si tel est bien le cas le grief du recourant est dénué de pertinence, raison pour laquelle il y a lieu d'examiner en premier lieu dans quelle mesure la condamnation du recourant peut être fondée sur cette base.</w:t>
      </w:r>
    </w:p>
    <w:p>
      <w:r>
        <w:rPr>
          <w:b/>
        </w:rPr>
        <w:t>E. 2</w:t>
      </w:r>
    </w:p>
    <w:p>
      <w:r>
        <w:t>Le recourant invoque une violation de la présomption d'innocence et soutient que les faits ont été constatés de manière manifestement inexacte, arbitraire.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Lorsque l'appréciation des preuves et la constatation des faits sont critiquées en référence à la présomption d'innocence, celle-ci n'a pas de portée plus large que l'interdiction de l'arbitraire (voir ATF 145 IV 154 consid. 1.1 p. 156 et les arrêts cités).</w:t>
      </w:r>
    </w:p>
    <w:p>
      <w:r>
        <w:t>Le Tribunal fédéral n'entre en matière sur les moyens fondés sur la violation de droits fondamentaux que s'ils ont été invoqués et motivés de manière précise ( art. 106 al. 2 LTF ). Les critiques de nature appellatoire sont irrecevables ( ATF 145 IV 154 consid. 1.1 p. 155 s.).</w:t>
      </w:r>
    </w:p>
    <w:p>
      <w:r>
        <w:rPr>
          <w:b/>
        </w:rPr>
        <w:t>E. 2.2</w:t>
      </w:r>
    </w:p>
    <w:p>
      <w:r>
        <w:t>Le recourant soutient que la cour cantonale ne pouvait pas sans arbitraire admettre que c'est en raison d'un lien de dépendance que l'intimée lui a accordé des faveurs sexuelles. Il se prévaut à ce propos de déclarations de l'intimée devant la cour cantonale selon lesquelles au moment de lui faire une fellation elle n'avait pas imaginé qu'elle obtiendrait davantage de travail dans son entreprise. Il relève qu'il n'était pas chargé de l'engagement des employés et n'était ni formellement ni factuellement l'employeur de l'intimée, de sorte que, même s'ils étaient dans une relation de travail avec un lien de subordination directe, il est excessif de considérer, comme l'a fait la cour cantonale, que les protagonistes se trouvaient dans une " situation inégale de soumission du côté de la victime et de domination du côté de l'auteur ". Il souligne par ailleurs le caractère temporaire de l'engagement de l'intimée, qui n'était selon lui de nature à générer ni un rapport de confiance particulier ni une forte emprise de l'auteur sur la victime, telle que celle exigée par l' art. 193 CP .</w:t>
      </w:r>
    </w:p>
    <w:p>
      <w:r>
        <w:rPr>
          <w:b/>
        </w:rPr>
        <w:t>E. 2.3</w:t>
      </w:r>
    </w:p>
    <w:p>
      <w:r>
        <w:t>La cour cantonale a notamment relevé que l'intimée, originaire du Cameroun, était peu au fait des usages sur le lieu de travail en vigueur dans notre pays, qu'elle vivait difficilement le fait de ne pas avoir d'emploi fixe et cherchait activement du travail.</w:t>
      </w:r>
    </w:p>
    <w:p>
      <w:r>
        <w:t>S'agissant du recourant, elle a noté qu'il était contremaître ou chef d'équipe, qu'il déterminait le nombre de personnes dont il avait besoin, décidait sur quel chantier les employés devaient travailler, donnait les instructions et contrôlait le travail. Il était en relation avec l'entreprise de placement, qui lui communiquait les numéros de téléphone des employés temporaires, auxquels il faisait appel en fonction de ses besoins. Elle a retenu qu'il avait le pouvoir de décider si l'intimée reviendrait travailler ou non et qu'il ne lui avait pas échappé qu'elle désirait travailler.</w:t>
      </w:r>
    </w:p>
    <w:p>
      <w:r>
        <w:t>Au demeurant, le recourant a lui-même émis la supposition qu'elle l'avait dénoncé pour se venger parce qu'il ne lui avait pas donné assez de travail, ce qui montre bien que sa position dans l'entreprise lui permettait d'exercer une influence sur le travail attribué à l'intimée.</w:t>
      </w:r>
    </w:p>
    <w:p>
      <w:r>
        <w:t>Cette dernière a certes dit devant la cour cantonale qu'au moment des faits elle n'imaginait pas obtenir davantage de travail dans l'entreprise du recourant. Elle a toutefois ajouté que ce dernier avait insisté à plusieurs reprises, notamment lors des actes, sur le fait que c'était lui qui commandait, relevant en outre qu'elle voulait du travail. Dans ces circonstances, même compte tenu des déclarations invoquées par le recourant, la constatation de la cour cantonale selon laquelle il existait entre les protagonistes une relation de soumission et domination échappe au grief d'arbitraire.</w:t>
      </w:r>
    </w:p>
    <w:p>
      <w:r>
        <w:rPr>
          <w:b/>
        </w:rPr>
        <w:t>E. 2.4.1</w:t>
      </w:r>
    </w:p>
    <w:p>
      <w:r>
        <w:t>Conformément à l' art. 193 al. 1 CP ,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La question de savoir s'il existe un état de détresse ou un lien de dépendance au sens de l' art. 193 CP et si la capacité de la victime de se déterminer était gravement limitée doit être examinée à la lumière des circonstances du cas d'espèce ( ATF 131 IV 114 consid. 1 p. 117). La situation de détresse ou de dépendance doit être appréciée selon la représentation que s'en font les intéressés (cf. ATF 99 IV 161 consid. 1; arrêt 6B_204/2019 du 15 mai 2019 consid. 6.1 et les références citées). L' art. 193 CP est réservé aux cas où l'on discerne un consentement. Il faut que ce consentement apparaisse motivé par la situation de détresse ou de dépendance dans laquelle se trouve sa victime. Il doit exister une certaine entrave au libre arbitre. L' 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(arrêt 6B_204/2019 précité consid. 6.1 et les arrêts cités).</w:t>
      </w:r>
    </w:p>
    <w:p>
      <w:r>
        <w:rPr>
          <w:b/>
        </w:rPr>
        <w:t>E. 2.4.2</w:t>
      </w:r>
    </w:p>
    <w:p>
      <w:r>
        <w:t>La cour cantonale a constaté que le recourant, en sa qualité de contremaître ou de chef d'équipe, déterminait le nombre de personnes dont il avait besoin et décidait sur quel chantier les employés devaient travailler. Il avait ainsi la possibilité d'influer sur les perspectives de l'intimée d'obtenir du travail et savait qu'elle désirait travailler. Il était de surcroît son chef, de sorte qu'elle devait se soumettre à ses instructions.</w:t>
      </w:r>
    </w:p>
    <w:p>
      <w:r>
        <w:t>Le recourant a manifestement profité de cette situation, d'une part en demandant à l'intimée de le suivre à un autre étage afin de l'isoler des autres personnes qui travaillaient sur le chantier et d'autre part en lui faisant remarquer que c'était lui qui commandait, qu'elle devait lui obéir et qu'elle avait besoin de travailler. Comme par ailleurs il ressort des constatations de la cour cantonale que l'intimée, au demeurant peu au courant des usages sur le lieu de travail en Suisse, lui avait à plusieurs reprises fait part de son refus d'accomplir les actes d'ordre sexuel qu'il lui demandait, c'est sans violer le droit fédéral que la cour cantonale a admis que le recourant a profité de la situation de dépendance dans laquelle elle se trouvait pour l'amener à commettre des actes auxquels elle n'aurait de toute évidence pas consenti dans d'autres circonstances.</w:t>
      </w:r>
    </w:p>
    <w:p>
      <w:r>
        <w:rPr>
          <w:b/>
        </w:rPr>
        <w:t>E. 2.4.3</w:t>
      </w:r>
    </w:p>
    <w:p>
      <w:r>
        <w:t>Même en omettant les points contestés, savoir d'une part que le recourant aurait été chargé d'engager le personnel et d'autre part qu'il aurait fermé la porte à clé, l'acte d'accusation dans sa version du 21 octobre 2019 mentionne la qualité de contremaître du recourant, qui indique la subordination hiérarchique de l'intimée, le fait qu'il lui a ordonné de le suivre à l'étage inférieur et qu'il a fait allusion à sa volonté et même à son besoin d'obtenir du travail. Il mentionne donc les circonstances de fait qui fondent la condamnation du recourant du chef d'abus de la détresse, à savoir la manoeuvre de celui-ci destinée à isoler l'intimée, la dépendance de cette dernière envers lui et son besoin de travailler. Ces indications sont suffisantes pour que ledit acte d'accusation remplisse sa fonction de délimitation et d'information rappelée au consid. 1.1 ci-dessus.</w:t>
      </w:r>
    </w:p>
    <w:p>
      <w:r>
        <w:t>Peu importe par ailleurs que l'acte d'accusation ne mentionne pas la masturbation que le recourant a obtenue de l'intimée dans le même contexte de faits dès lors que l'acte qui y figure, à savoir une fellation jusqu'à éjaculation, suffit à réaliser les éléments constitutifs de l'infraction.</w:t>
      </w:r>
    </w:p>
    <w:p>
      <w:r>
        <w:rPr>
          <w:b/>
        </w:rPr>
        <w:t>E. 3</w:t>
      </w:r>
    </w:p>
    <w:p>
      <w:r>
        <w:t>Enfin, l'argumentation du recourant relative à la non-applicabilité de l' art. 189 CP est dénuée de pertinence, cette disposition n'ayant pas été retenue à son encontre.</w:t>
      </w:r>
    </w:p>
    <w:p>
      <w:r>
        <w:rPr>
          <w:b/>
        </w:rPr>
        <w:t>E. 4</w:t>
      </w:r>
    </w:p>
    <w:p>
      <w:r>
        <w:t>Mal fondé, le recours doit être rejeté. Comme les conclusions étaient dépourvues de chances de succès, l'assistance judiciaire ne peut être accordée ( art. 64 al. 1 LTF ). Le recourant, qui succombe, supportera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