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894/2023 vom 10. Januar 2024</w:t>
      </w:r>
    </w:p>
    <w:p>
      <w:r>
        <w:t>Bundesgericht, 2024-01-10, FR</w:t>
      </w:r>
    </w:p>
    <w:p>
      <w:r>
        <w:rPr>
          <w:b/>
        </w:rPr>
        <w:t xml:space="preserve">Quelle: </w:t>
      </w:r>
      <w:r>
        <w:t>https://mcp.opencaselaw.ch/entscheid/bger_6B_894_2023</w:t>
      </w:r>
    </w:p>
    <w:p>
      <w:r>
        <w:t>FR: TF 6B 894/2023 du 10 janvier 2024</w:t>
      </w:r>
    </w:p>
    <w:p>
      <w:r>
        <w:t>IT: TF 6B 894/2023 del 10 gennaio 2024</w:t>
      </w:r>
    </w:p>
    <w:p>
      <w:pPr>
        <w:pStyle w:val="Heading2"/>
      </w:pPr>
      <w:r>
        <w:t>Regeste</w:t>
      </w:r>
    </w:p>
    <w:p>
      <w:r>
        <w:t>Dommages à la propriété, arbitraire | Infractions</w:t>
      </w:r>
    </w:p>
    <w:p>
      <w:pPr>
        <w:pStyle w:val="Heading2"/>
      </w:pPr>
      <w:r>
        <w:t>Erwägungen</w:t>
      </w:r>
    </w:p>
    <w:p>
      <w:r>
        <w:rPr>
          <w:b/>
        </w:rPr>
        <w:t>E. 1</w:t>
      </w:r>
    </w:p>
    <w:p>
      <w:r>
        <w:t>Le recourant conteste être l'auteur du graffiti litigieux. Il invoque l'arbitraire dans l'établissement des faits et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148 IV 409 consid. 2.2; 146 IV 88 consid. 1.3.1; 145 IV 154 consid. 1.1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6B_558/2023 du 11 septembre 2023 consid. 2.1; 6B_1040/2022 du 23 août 2023 consid. 2.1.2; 6B_924/2022 du 13 juillet 2023 consid. 2.1).</w:t>
      </w:r>
    </w:p>
    <w:p>
      <w:r>
        <w:rPr>
          <w:b/>
        </w:rPr>
        <w:t>E. 1.2</w:t>
      </w:r>
    </w:p>
    <w:p>
      <w:r>
        <w:t>Faisant sienne l'appréciation du premier juge, la cour cantonale a considéré que plusieurs éléments corroboraient le fait que le recourant était l'auteur du graffiti litigieux à U.________. En substance, elle a retenu que les déclarations de l'intimé, selon lesquelles il avait identifié son frère comme l'auteur du graffiti le jour des faits, étaient globalement constantes. Il n'avait pas d'emblée pris l'option de dénoncer son frère mais lui avait largement laissé l'occasion de réparer les dégâts avant de porter plainte contre lui. En revanche, le recourant n'était pas crédible lorsqu'il prétendait n'avoir appris l'existence du graffiti litigieux que lors de son premier interrogatoire par la police, le 22 août 2021, dès lors que, selon le procès-verbal d'une audience civile tenue le 31 mars 2021, l'intimé avait expressément accusé le recourant d'avoir "fait un tag sur les murs de la PPE". Se référant au raisonnement de première instance, la cour cantonale a écarté le principal alibi invoqué par le recourant concernant sa présence à U.________ le 27 mars 2021. Le témoin D.________, dont s'était prévalu le recourant, avait répété, sous la foi du serment, que les allégations du second selon lesquelles ils auraient passé toute la journée du 27 mars 2021 ensemble étaient à la fois "fausses" et "inimaginables" puisqu'il travaillait tous les samedis en qualité de chauffeur de taxi. En outre, la cour cantonale a constaté plusieurs similitudes entre le graffiti litigieux et ceux que le recourant avait admis avoir réalisés par le passé, lui ayant valu une condamnation (particularités des trois traits de la crosse épiscopale, des fasces rouges et de leur remplissage; caractéristiques de la peinture). Il paraissait totalement inconcevable qu'un inconnu s'approprie le style graphique du recourant pour réaliser une fresque unique à U.________ et décide, fortuitement, d'exercer son art sur le mur de l'immeuble appartenant notamment au frère du recourant.</w:t>
      </w:r>
    </w:p>
    <w:p>
      <w:r>
        <w:rPr>
          <w:b/>
        </w:rPr>
        <w:t>E. 1.3</w:t>
      </w:r>
    </w:p>
    <w:p>
      <w:r>
        <w:t>Le recourant discute librement la décision entreprise en faisant état de différents éléments de fait, notamment relatifs à la nature de ses liens familiaux, à la configuration des lieux, et aux caractéristiques du témoin D.________, sans pour autant chercher à démontrer en quoi la cour cantonale aurait fait preuve d'arbitraire. Son argumentation s'avère ainsi largement appellatoire et, partant, irrecevable (art. 42 al. 2 et 106 al. 2 LTF). Il en va de même en tant qu'il allègue, sans aucune référence au dossier, que certains éléments de preuve le disculperaient (notamment: absence de peinture chez lui; signal de téléphone). Contrairement à ce que prétend le recourant, la cour cantonale a attentivement examiné les caractéristiques du graffiti litigieux pour établir les similitudes avec ceux qu'il avait admis avoir réalisés auparavant. Le recourant ne discute d'aucune manière le raisonnement cantonal détaillé sur ce point. Le recourant reproche encore à la cour cantonale d'avoir refusé d'auditionner "un témoin essentiel" pour l'innocenter, sans pour autant l'identifier expressément ni expliquer dans quelle mesure ce témoignage apparaissait essentiel. Faute de motivation suffisante, ce grief est irrecevable (art. 42 al. 2 et 106 al. 2 LTF; cf. s'agissant du droit d'être entendu et de l'appréciation anticipée des preuves notamment: ATF 144 II 427 consid. 3.1.3; arrêt 6B_1244/2023 du 20 décembre 2023 consid. 2.2). En définitive, le recourant échoue à démontrer l'arbitraire dans l'appréciation des preuves et l'établissement des faits. Pour le surplus, le recourant ne discute d'aucune manière l'application du droit, en particulier sous l'angle de la qualification juridique de l'infraction ( art. 144 CP ) et de la peine.</w:t>
      </w:r>
    </w:p>
    <w:p>
      <w:r>
        <w:rPr>
          <w:b/>
        </w:rPr>
        <w:t>E. 2</w:t>
      </w:r>
    </w:p>
    <w:p>
      <w:r>
        <w:t>Au vu de ce qui précède, le recours doit être rejeté, dans la faible mesure de sa recevabilité. Comme il était dénué de chances de succès, la demande d'assistance judiciaire doit être rejetée ( art. 64 al. 1 LTF ). Le recourant qui succombe supportera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