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6B_894/2022 vom 4. Januar 2023</w:t>
      </w:r>
    </w:p>
    <w:p>
      <w:r>
        <w:t>Bundesgericht, 2023-01-04, FR</w:t>
      </w:r>
    </w:p>
    <w:p>
      <w:r>
        <w:rPr>
          <w:b/>
        </w:rPr>
        <w:t xml:space="preserve">Quelle: </w:t>
      </w:r>
      <w:r>
        <w:t>https://mcp.opencaselaw.ch/entscheid/bger_6B_894_2022</w:t>
      </w:r>
    </w:p>
    <w:p>
      <w:r>
        <w:t>FR: TF 6B_894/2022 du 4 janvier 2023</w:t>
      </w:r>
    </w:p>
    <w:p>
      <w:r>
        <w:t>IT: TF 6B_894/2022 del 4 gennaio 2023</w:t>
      </w:r>
    </w:p>
    <w:p>
      <w:pPr>
        <w:pStyle w:val="Heading2"/>
      </w:pPr>
      <w:r>
        <w:t>Erwägungen</w:t>
      </w:r>
    </w:p>
    <w:p>
      <w:r>
        <w:rPr>
          <w:b/>
        </w:rPr>
        <w:t>E. 1</w:t>
      </w:r>
    </w:p>
    <w:p>
      <w:r>
        <w:t>Par arrêt du 1</w:t>
      </w:r>
    </w:p>
    <w:p>
      <w:r>
        <w:t>er juin 2022, la Chambre des recours pénale du Tribunal cantonal vaudois a déclaré irrecevable le recours formé par A.________ contre la décision rendue le 11 mai 2022 par la Cheffe du Service pénitentiaire du canton de Vaud, laquelle annulait une décision disciplinaire du 10 novembre 2021 et restituait au prénommé la rémunération correspondant à trois jours d'arrêt.</w:t>
      </w:r>
    </w:p>
    <w:p>
      <w:r>
        <w:rPr>
          <w:b/>
        </w:rPr>
        <w:t>E. 2</w:t>
      </w:r>
    </w:p>
    <w:p>
      <w:r>
        <w:t>Par acte daté du 14 juillet 2022, A.________ a formé un recours en matière pénale au Tribunal fédéral contre l'arrêt précité. Il a sollicité le bénéfice de l'assistance judiciaire et la désignation d'un conseil d'office.</w:t>
      </w:r>
    </w:p>
    <w:p>
      <w:r>
        <w:t>Par correspondance du 25 juillet 2022, A.________ a été informé que, conformément à sa pratique constante, la Cour de céans ne désignait pas elle-même d'avocat et qu'il lui appartenait d'en mandater un, charge pour celui-ci, le cas échéant, de requérir sa désignation en qualité de conseil d'office. Il a également été rendu attentif aux conditions de recevabilité d'un recours en matière pénale. Il lui a en outre été précisé que le délai de recours n'apparaissait, alors, pas encore échu, et qu'il lui était loisible de compléter ou de faire compléter son écriture avant l'échéance dudit délai.</w:t>
      </w:r>
    </w:p>
    <w:p>
      <w:r>
        <w:t>A.________ n'a donné aucune suite à ce courrier.</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la cour cantonale a tout d'abord relevé que la sanction disciplinaire avait été annulée dans le cadre de la décision querellée devant elle, si bien que, dans ces conditions, le recourant ne disposait pas d'un intérêt actuel à contester une décision lui donnant raison sur ce point.</w:t>
      </w:r>
    </w:p>
    <w:p>
      <w:r>
        <w:t>S'agissant des prétentions en indemnisation élevées par le recourant à la suite des trois jours d'arrêt en cause, la cour cantonale a relevé que la décision visée se limitait à annuler la décision de sanction et à restituer au recourant la rémunération qu'il n'avait pas pu percevoir durant les trois jours d'arrêt. Elle a également relevé, en substance, que le recourant n'avait pas requis de constat d'illicéité ni demandé l'allocation d'une indemnité après avoir subi sa sanction, la décision querellée ne se prononçant pas sur ces points. La cour cantonale en a ainsi conclu que le recours était irrecevable à cet égard. Elle a également considéré qu'en l'absence de décision sur la licéité des modalités de détention, elle ne pouvait entrer en matière, faute de saisine directe devant elle pour constater les conditions de détention qui seraient, le cas échéant, contraires à la CEDH. Le recours s'en trouvait également irrecevable sur ce plan.</w:t>
      </w:r>
    </w:p>
    <w:p>
      <w:r>
        <w:t>Dans son écriture, le recourant se limite à reprendre les griefs déjà soulevés devant la cour cantonale, en revenant sur les conditions de détention dans le cadre des arrêts qu'il a subis, qu'il qualifie de torture, et en soutenant qu'il a droit à un dédommagement. Ce faisant, le recourant ne discute toutefois pas les motifs d'irrecevabilité retenus par la cour cantonale. Or, en l'absence de critique topique de la motivation cantonale, les griefs du recourant s'avèrent irrecevables, dès lors qu'ils ne satisfont pas aux exigences de motivation d'un recours en matière pénale au Tribunal fédéral (art. 42 al. 2 et 106 al. 2 LTF).</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recours était dépourvu de chances de succès, ce qui conduit au refus de l'assistance judiciaire ( art. 64 al. 1 et 3 LTF ).</w:t>
      </w:r>
    </w:p>
    <w:p>
      <w:r>
        <w:t>Le recourant, qui succombe, supporte les frais judiciaires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