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6B_893/2022 vom 8. Juni 2023</w:t>
      </w:r>
    </w:p>
    <w:p>
      <w:r>
        <w:t>Bundesgericht, 2023-06-08, FR</w:t>
      </w:r>
    </w:p>
    <w:p>
      <w:r>
        <w:rPr>
          <w:b/>
        </w:rPr>
        <w:t xml:space="preserve">Quelle: </w:t>
      </w:r>
      <w:r>
        <w:t>https://mcp.opencaselaw.ch/entscheid/bger_6B_893_2022</w:t>
      </w:r>
    </w:p>
    <w:p>
      <w:r>
        <w:t>FR: TF 6B_893/2022 du 8 juin 2023</w:t>
      </w:r>
    </w:p>
    <w:p>
      <w:r>
        <w:t>IT: TF 6B_893/2022 del 8 giugno 2023</w:t>
      </w:r>
    </w:p>
    <w:p>
      <w:pPr>
        <w:pStyle w:val="Heading2"/>
      </w:pPr>
      <w:r>
        <w:t>Erwägungen</w:t>
      </w:r>
    </w:p>
    <w:p>
      <w:r>
        <w:rPr>
          <w:b/>
        </w:rPr>
        <w:t>E. 1</w:t>
      </w:r>
    </w:p>
    <w:p>
      <w:r>
        <w:t>Le recourant conteste sa condamnation pour faux témoignage. Il se plaint en substance d'une constatation arbitraire des faits et d'une violation de l' art. 307 al. 1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1.2.1</w:t>
      </w:r>
    </w:p>
    <w:p>
      <w:r>
        <w:t>Se rend coupable de faux témoignage selon l' art. 307 al. 1 CP , celui qui en qualité de témoin aura fait en justice une déposition fausse sur les faits de la cause. Le comportement punissable suppose que la déclaration du témoin soit fausse, c'est-à-dire objectivement non conforme à la vérité (arrêts 6B_1178/2016 du 21 avril 2017 consid. 3.4; 6B_465/2010 du 30 août 2010 consid. 5.3). En outre, la déclaration incriminée doit concerner les faits de la cause, soit l'élucidation ou la constatation de l'état de fait qui constitue l'objet de la procédure (arrêts 6B_ 807/2021 du 7 juin 2022 consid. 6.1; 6B_249/2017 du 17 janvier 2018 consid. 1.1).</w:t>
      </w:r>
    </w:p>
    <w:p>
      <w:r>
        <w:rPr>
          <w:b/>
        </w:rPr>
        <w:t>E. 1.2.2</w:t>
      </w:r>
    </w:p>
    <w:p>
      <w:r>
        <w:t>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6B_ 807/2021 du 7 juin 2022 consid. 6.1; 6B_249/2017 précité consid. 1.1).</w:t>
      </w:r>
    </w:p>
    <w:p>
      <w:r>
        <w:t>Déterminer ce qu'une personne a su, envisagé, voulu ou accepté relève du contenu de la pensée, à savoir de faits "internes" qui, en tant que faits ( ATF 142 IV 137 consid. 12; 137 IV 1 consid. 4.2.3; 135 IV 152 consid. 2.3.2),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w:t>
      </w:r>
    </w:p>
    <w:p>
      <w:r>
        <w:rPr>
          <w:b/>
        </w:rPr>
        <w:t>E. 1.3</w:t>
      </w:r>
    </w:p>
    <w:p>
      <w:r>
        <w:t>En l'espèce, la cour cantonale a constaté sur le plan objectif que, par son témoignage dans la procédure civile opposant sa grand-mère à l'intimée, le recourant avait fait des déclarations sur les faits de la cause, qui étaient fausses (cf. let. B.b et B.c</w:t>
      </w:r>
    </w:p>
    <w:p>
      <w:r>
        <w:t>supra ; jugement attaqué, consid. 3.1, 3.3 et 6.1 s. p. 12, 14 ss et 21 s.).</w:t>
      </w:r>
    </w:p>
    <w:p>
      <w:r>
        <w:t>S'agissant de l'intention, l'autorité précédente a considéré qu'habitant dans l'immeuble depuis 2013, où il y avait d'ailleurs vécu de 4 à 6 ans, puis de 17 à 19 ans, le recourant ne pouvait pas se réfugier derrière l'utilisation de la locution "dans mon souvenir, il me semble" ou de la tournure impersonnelle "il m'apparaît". En cas de doute quant à la véracité de ses propos, il lui appartenait de faire part de ses incertitudes au juge, étant toutefois observé qu'il avait été catégorique lors de certaines des réponses litigieuses. Cela étant, il avait à tout le moins accepté que sa déposition ne fût pas conforme à la vérité (cf. jugement attaqué, consid. 6.2 p. 21 s.).</w:t>
      </w:r>
    </w:p>
    <w:p>
      <w:r>
        <w:rPr>
          <w:b/>
        </w:rPr>
        <w:t>E. 1.4</w:t>
      </w:r>
    </w:p>
    <w:p>
      <w:r>
        <w:t>Le recourant critique tout d'abord l'analyse faite par la cour cantonale quant aux conditions objectives du faux témoignage. Il se prévaut à cet égard d'un défaut de motivation.</w:t>
      </w:r>
    </w:p>
    <w:p>
      <w:r>
        <w:rPr>
          <w:b/>
        </w:rPr>
        <w:t>E. 1.4.1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rPr>
          <w:b/>
        </w:rPr>
        <w:t>E. 1.4.2</w:t>
      </w:r>
    </w:p>
    <w:p>
      <w:r>
        <w:t>Contrairement à ce que soutient le recourant, la cour cantonale a exposé les motifs lui permettant de considérer que les conditions objectives de l'infraction étaient réalisées.</w:t>
      </w:r>
    </w:p>
    <w:p>
      <w:r>
        <w:t>Renvoyant à l'exposé fait par le premier juge des éléments constitutifs du faux témoignage, l'autorité précédente a indiqué dans sa partie "Faits" que, d'une part, les déclarations litigieuses avaient été effectuées par le recourant en sa qualité de témoin au procès civil opposant sa grand-mère à l'intimée et que, d'autre part, ses déclarations n'étaient pas conformes à la vérité. En outre, elle a spécifiquement indiqué dans ses considérants en droit en quoi les fausses déclarations du recourant portaient sur les faits de la cause civile dont il était question (cf. consid. 1.3</w:t>
      </w:r>
    </w:p>
    <w:p>
      <w:r>
        <w:t>supra ).</w:t>
      </w:r>
    </w:p>
    <w:p>
      <w:r>
        <w:t>Ressortant du jugement attaqué, la motivation de la cour cantonale sur les éléments objectifs du faux témoignage s'avère suffisante. Elle ne viole dès lors pas le droit d'être entendu du recourant. Ne contestant au reste pas les constatations factuelles y relatives, ce dernier ne démontre pas en quoi les conditions objectives de l'infraction ne pouvaient pas être tenues pour réalisées (cf. art. 42 al. 2 LTF ).</w:t>
      </w:r>
    </w:p>
    <w:p>
      <w:r>
        <w:t>Mal fondé, son grief doit être rejeté, dans la mesure de sa recevabilité.</w:t>
      </w:r>
    </w:p>
    <w:p>
      <w:r>
        <w:rPr>
          <w:b/>
        </w:rPr>
        <w:t>E. 1.5</w:t>
      </w:r>
    </w:p>
    <w:p>
      <w:r>
        <w:t>Le recourant fait ensuite valoir que l'infraction reprochée n'est pas réalisée sur le plan subjectif, dès lors qu'il n'avait pas l'intention d'émettre une fausse déposition en justice.</w:t>
      </w:r>
    </w:p>
    <w:p>
      <w:r>
        <w:rPr>
          <w:b/>
        </w:rPr>
        <w:t>E. 1.5.1</w:t>
      </w:r>
    </w:p>
    <w:p>
      <w:r>
        <w:t>Par son argumentation, le recourant s'attache cependant essentiellement à critiquer la constatation opérée par l'autorité précédente sur des faits "internes", sans démontrer le caractère insoutenable de celle-ci et encore moins l'arbitraire dans son résultat.</w:t>
      </w:r>
    </w:p>
    <w:p>
      <w:r>
        <w:t>Ce faisant, il se limite à proposer sa propre appréciation des preuves, dans une démarche appellatoire et partant irrecevable dans le recours en matière pénale. Il en va ainsi notamment lorsqu'il soutient qu'il était convaincu que son témoignage était conforme à la vérité et qu'il relève à cet égard que la visite du local n° yy le 22 décembre 2015 n'avait pas pour but de constater s'il pouvait toujours y être accédé par l'entrée sise Rue de V._________ zz, que la question de la présidente sur la circulation interne des surfaces de l'immeuble était ouverte, qu'il s'était exprimé librement sur ce dont il se souvenait, sans avoir été amené à préciser sa réponse et confronté à son erreur, et qu'aussi, il avait décrit sa visite des locaux selon son souvenir et d'après les plans qu'il connaissait, voire encore lorsque le recourant se prévaut du "paradigme de la mémoire" ou d'une "confusion générale" en lien avec les témoignages d'autres membres de sa famille.</w:t>
      </w:r>
    </w:p>
    <w:p>
      <w:r>
        <w:rPr>
          <w:b/>
        </w:rPr>
        <w:t>E. 1.5.2</w:t>
      </w:r>
    </w:p>
    <w:p>
      <w:r>
        <w:t>Pour le surplus, il ressort des faits retenus par la cour cantonale, qui lient le Tribunal fédéral ( art. 105 al. 1 LTF ), que la parcelle, sur laquelle est érigée le bâtiment sis Rue de V._________ zz et xx, appartenait auparavant à des membres de sa famille. Le recourant y avait d'ailleurs vécu durant une partie de son enfance et de sa jeunesse, avant d'y habiter depuis 2013. Cela étant, lors de l'assemblée des propriétaires d'étages du 6 novembre 2015, il avait exposé avoir détecté des odeurs de cannabis dans les couloirs, qui provenaient du salon de tatouage installé dans le local n° yy. De concert avec sa mère et sa tante, il avait alors déclaré vouloir préserver le caractère résidentiel de la partie du bâtiment sise Rue de V._________ xx, en exigeant que la porte d'accès aux locaux de l'entresol fût condamnée et qu'il ne pût depuis lors y être accédé que par l'entrée sise Rue de V._________ zz. Le 22 décembre 2015, à la suite de l'assemblée des propriétaires d'étages, il avait en outre pu accéder au local n° yy qu'il avait visité dans son intégralité (cf. jugement attaqué, consid. 2 p. 8 ss).</w:t>
      </w:r>
    </w:p>
    <w:p>
      <w:r>
        <w:t>Aussi, la cour cantonale pouvait, sans arbitraire, écarter la thèse selon laquelle le recourant était convaincu de faits non conformes à la vérité. Ce dernier avait en effet manifesté sa volonté d'obtenir la suppression de l'accès du local n° yy à la partie du bâtiment sise Rue de V._________ xx, ce qui était précisément l'objet du procès civil opposant sa grand-mère à l'intimée. À l'instar de sa mère, le recourant avait un intérêt à ce que sa grand-mère obtienne gain de cause. Il avait en particulier pu visiter l'entier du local n° yy peu de temps après avoir fait part de ses doléances lors de l'assemblée des propriétaires d'étages en 2015. Il est par ailleurs constant que lors de cette visite, il avait emprunté l'accès existant depuis l'entrée sise Rue V._________ xx, l'autre accès étant condamné depuis la création d'un mur intérieur en 1990 (cf. let. B.b</w:t>
      </w:r>
    </w:p>
    <w:p>
      <w:r>
        <w:t>supra ).</w:t>
      </w:r>
    </w:p>
    <w:p>
      <w:r>
        <w:rPr>
          <w:b/>
        </w:rPr>
        <w:t>E. 1.5.3</w:t>
      </w:r>
    </w:p>
    <w:p>
      <w:r>
        <w:t>Ces différentes circonstances, soit en particulier sa bonne connaissance des lieux, les intérêts familiaux et le contexte entourant la visite du local n° yy le 22 décembre 2015, démontrent, comme cela a été retenu par la cour cantonale, que le recourant avait conscience de la fausseté des propos selon lesquels les tatoueurs disposaient depuis l'entrée sise Rue de V._________ zz d'un accès, qu'il avait lui-même emprunté lors de sa visite, et qu'il n'avait plus été possible d'y accéder depuis les travaux de transformation entrepris par l'intimée.</w:t>
      </w:r>
    </w:p>
    <w:p>
      <w:r>
        <w:t>Malgré cela, alors qu'il pouvait refuser de témoigner en raison de son lien de parenté avec la demanderesse (cf. art. 165 al. 1 let . c CPC), le recourant a néanmoins accepté de répondre au juge civil, s'accommodant du risque de se voir reprocher un faux témoignage.</w:t>
      </w:r>
    </w:p>
    <w:p>
      <w:r>
        <w:t>Quoi qu'il en dise, le fait d'avoir parfois fait preuve de cautèle par l'utilisation de certaines locutions (telles que "dans mon souvenir" ou "il me semble que") n'exclut pas la réalisation de l'élément subjectif de l'infraction, au regard des constatations factuelles de la cour cantonale dénotant son intention. Peu importe également que le juge civil n'eût pas posé des questions plus précises ou qu'il n'eût pas interpellé le recourant suite à ses fausses déclarations. Il n'appartenait qu'à lui de rectifier ses déclarations ou de faire part au juge de ses éventuelles incertitudes, au plus tard avant de signer le procès-verbal de son audition et de réaliser l'infraction de faux témoignage (cf. ATF 107 IV 130 consid. 3b et les réf. citées).</w:t>
      </w:r>
    </w:p>
    <w:p>
      <w:r>
        <w:rPr>
          <w:b/>
        </w:rPr>
        <w:t>E. 1.5.4</w:t>
      </w:r>
    </w:p>
    <w:p>
      <w:r>
        <w:t>En tant qu'il soutient que la cour cantonale n'a pour le reste pas indiqué les raisons l'ayant amenée à écarter la thèse relative à "une confusion de mémoire", le recourant ne présente aucune motivation topique exposant en quoi son droit d'être entendu n'aurait ainsi pas été respecté (cf. art. 42 al. 2 LTF ). En tout état, il ressort de l'arrêt attaqué suffisamment d'éléments pertinents permettant de discerner les motifs ayant fondé le jugement cantonal (cf. consid. 1.3 et 1.5.2</w:t>
      </w:r>
    </w:p>
    <w:p>
      <w:r>
        <w:t>supra ).</w:t>
      </w:r>
    </w:p>
    <w:p>
      <w:r>
        <w:t>Infondé, le grief tiré de l'absence d'intention doit dès lors être rejeté, dans la mesure de sa recevabilité.</w:t>
      </w:r>
    </w:p>
    <w:p>
      <w:r>
        <w:rPr>
          <w:b/>
        </w:rPr>
        <w:t>E. 1.6</w:t>
      </w:r>
    </w:p>
    <w:p>
      <w:r>
        <w:t>Le recourant reproche encore à la cour cantonale de ne pas avoir examiné si un intérêt collectif ou privé avait été "bafoué" par ses fausses déclarations en justice. Ce moyen doit toutefois également être rejeté. L'infraction de faux témoignage sanctionne une mise en danger abstraite de la recherche de la vérité, de sorte qu'il n'est pas nécessaire, pour qu'elle soit consommée, que le juge ait été influencé (BERNARD CORBOZ, Les infractions en droit suisse, vol. II, Berne 2010, art. 307 CP n° 4 et les réf. citées).</w:t>
      </w:r>
    </w:p>
    <w:p>
      <w:r>
        <w:rPr>
          <w:b/>
        </w:rPr>
        <w:t>E. 1.7</w:t>
      </w:r>
    </w:p>
    <w:p>
      <w:r>
        <w:t>En définitive, la cour cantonale n'a pas violé le droit fédéral en retenant que les éléments constitutifs de l'infraction de faux témoignage étaient réalisés.</w:t>
      </w:r>
    </w:p>
    <w:p>
      <w:r>
        <w:rPr>
          <w:b/>
        </w:rPr>
        <w:t>E. 2</w:t>
      </w:r>
    </w:p>
    <w:p>
      <w:r>
        <w:t>Le recourant critique enfin la quotité de la peine qui lui a été infligée. Il reproche à la cour cantonale d'avoir violé le principe de l'interdiction de la</w:t>
      </w:r>
    </w:p>
    <w:p>
      <w:r>
        <w:t>reformatio in pejus en augmentant, sans autre indication, le montant du jour-amende arrêté en première instance.</w:t>
      </w:r>
    </w:p>
    <w:p>
      <w:r>
        <w:rPr>
          <w:b/>
        </w:rPr>
        <w:t>E. 2.1</w:t>
      </w:r>
    </w:p>
    <w:p>
      <w:r>
        <w:t>Le principe de l'interdiction de la</w:t>
      </w:r>
    </w:p>
    <w:p>
      <w:r>
        <w:t>reformatio in pejus , dont le but est de permettre au prévenu d'exercer son droit de recours sans craindre de voir le jugement modifié en sa défaveur, est consacrée par l' art. 391 al. 2 1 re phrase CPP ( ATF 143 IV 469 consid. 4.1; 142 IV 89 consid. 2.1; arrêt 6B_1362/2021 du 26 janvier 2023 consid. 4.1.1, destiné à la publication). Cette disposition prévoit que l'autorité de recours ne peut pas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 art. 391 al. 2 2 e phrase CPP). La juridiction d'appel ne viole ainsi pas l'interdiction de la</w:t>
      </w:r>
    </w:p>
    <w:p>
      <w:r>
        <w:t>reformatio in pejus lorsqu'elle augmente le montant du jour-amende après avoir constaté une amélioration de la situation financière de l'appelant depuis le jugement de première instance ( ATF 144 IV 198 consid. 5.4).</w:t>
      </w:r>
    </w:p>
    <w:p>
      <w:r>
        <w:rPr>
          <w:b/>
        </w:rPr>
        <w:t>E. 2.2</w:t>
      </w:r>
    </w:p>
    <w:p>
      <w:r>
        <w:t>La cour cantonale a en l'occurrence détaillé le calcul du jour-amende, sur lequel elle s'est fondée pour le fixer à 274 fr., augmentant de 34 fr. celui qui avait été arrêté par le premier juge. Elle s'est à cet égard basée sur la décision de taxation du 28 avril 2022 et a renvoyé à la jurisprudence précitée, tirée de l'arrêt publié aux ATF 144 IV 198 (cf. jugement attaqué, consid. 1.5 et 7.2.3.2 p.8 et 29).</w:t>
      </w:r>
    </w:p>
    <w:p>
      <w:r>
        <w:rPr>
          <w:b/>
        </w:rPr>
        <w:t>E. 2.3.1</w:t>
      </w:r>
    </w:p>
    <w:p>
      <w:r>
        <w:t>La critique du recourant quant à un défaut de motivation ne peut être suivie. On comprend en effet qu'en se fondant sur la décision de taxation du 28 avril 2022 (dont le premier juge ne pouvait pas avoir pris connaissance) et en renvoyant à la jurisprudence tirée de l'arrêt publié aux ATF 144 IV 198 (consid. 5.4), l'autorité précédente a constaté que la situation financière du recourant avait non seulement changé depuis le jugement de première instance, mais également qu'elle s'était améliorée.</w:t>
      </w:r>
    </w:p>
    <w:p>
      <w:r>
        <w:t>La motivation cantonale permet par ailleurs de saisir que l'amélioration de sa situation financière constituait un fait nouveau selon l' art. 391 al. 2 2 e phrase CPP, dont l'autorité précédente a fait application. Elle ne viole dès lors pas le droit d'être entendu du recourant.</w:t>
      </w:r>
    </w:p>
    <w:p>
      <w:r>
        <w:rPr>
          <w:b/>
        </w:rPr>
        <w:t>E. 2.3.2</w:t>
      </w:r>
    </w:p>
    <w:p>
      <w:r>
        <w:t>L'argumentation du recourant, qui se borne à alléguer n'avoir pas remarqué de modification de sa situation économique, n'est au surplus pas conforme aux exigences de motivation, lors même qu'elle porte sur une constatation factuelle dont l'examen par le Tribunal fédéral est limité à l'arbitraire (cf. consid. 1.1</w:t>
      </w:r>
    </w:p>
    <w:p>
      <w:r>
        <w:t>supra ). Son grief est à cet égard irrecevable.</w:t>
      </w:r>
    </w:p>
    <w:p>
      <w:r>
        <w:rPr>
          <w:b/>
        </w:rPr>
        <w:t>E. 2.3.3</w:t>
      </w:r>
    </w:p>
    <w:p>
      <w:r>
        <w:t>Pour le reste, vu l'amélioration de la situation financière du recourant, l'application de l' art. 391 al. 2 2 e phrase CPP par la cour cantonale ne prête pas le flanc à la critique. Cette disposition rendant inopérant le principe de l'interdiction de la</w:t>
      </w:r>
    </w:p>
    <w:p>
      <w:r>
        <w:t>reformatio in pejus en appel, le montant du jour-amende pouvait être augmenté (cf. consid. 2.1).</w:t>
      </w:r>
    </w:p>
    <w:p>
      <w:r>
        <w:t>Mal fondé, le grief relatif à l'augmentation du jour-amende doit également être rejeté, dans la mesure de sa recevabilité.</w:t>
      </w:r>
    </w:p>
    <w:p>
      <w:r>
        <w:rPr>
          <w:b/>
        </w:rPr>
        <w:t>E. 2.4</w:t>
      </w:r>
    </w:p>
    <w:p>
      <w:r>
        <w:t>Le recourant ne formule finalement aucune critique quant à la fixation de la peine pécuniaire infligée. Il n'invoque aucune violation par la cour cantonale de l' art. 47 CP (quant au nombre de jours-amende) et de l' art. 34 al. 2 CP (quant au montant du jour-amende).</w:t>
      </w:r>
    </w:p>
    <w:p>
      <w:r>
        <w:t>La cause ne sera pas revue sous ces angles ( art. 42 al. 2 LTF ).</w:t>
      </w:r>
    </w:p>
    <w:p>
      <w:r>
        <w:rPr>
          <w:b/>
        </w:rPr>
        <w:t>E. 3</w:t>
      </w:r>
    </w:p>
    <w:p>
      <w:r>
        <w:t>La conclusion du recourant tendant à l'octroi d'une "indemnité équitable" pour les dépens cantonaux est sans objet en tant qu'elle suppose l'acquittement de l'infraction reprochée, qu'il n'obtient pas.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