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6B_893/2021 vom 22. September 2021</w:t>
      </w:r>
    </w:p>
    <w:p>
      <w:r>
        <w:t>Bundesgericht, 2021-09-22, DE</w:t>
      </w:r>
    </w:p>
    <w:p>
      <w:r>
        <w:rPr>
          <w:b/>
        </w:rPr>
        <w:t xml:space="preserve">Quelle: </w:t>
      </w:r>
      <w:r>
        <w:t>https://mcp.opencaselaw.ch/entscheid/bger_6B_893_2021</w:t>
      </w:r>
    </w:p>
    <w:p>
      <w:r>
        <w:t>FR: TF 6B_893/2021 du 22 septembre 2021</w:t>
      </w:r>
    </w:p>
    <w:p>
      <w:r>
        <w:t>IT: TF 6B_893/2021 del 22 settembre 2021</w:t>
      </w:r>
    </w:p>
    <w:p>
      <w:pPr>
        <w:pStyle w:val="Heading2"/>
      </w:pPr>
      <w:r>
        <w:t>Erwägungen</w:t>
      </w:r>
    </w:p>
    <w:p>
      <w:r>
        <w:rPr>
          <w:b/>
        </w:rPr>
        <w:t>E. 1</w:t>
      </w:r>
    </w:p>
    <w:p>
      <w:r>
        <w:t>Bundesanwaltschaft,</w:t>
      </w:r>
    </w:p>
    <w:p>
      <w:r>
        <w:t>B.________, a.o. Staatsanwalt des Bundes,</w:t>
      </w:r>
    </w:p>
    <w:p>
      <w:r>
        <w:rPr>
          <w:b/>
        </w:rPr>
        <w:t>E. 2</w:t>
      </w:r>
    </w:p>
    <w:p>
      <w:r>
        <w:t>Der Beschwerdeführer beantragt mit Beschwerde in Strafsachen sinngemäss, der Entscheid der Vorinstanz vom 4. August 2021 sei aufzuheben und die Sache zur Durchführung der Vorprüfung seiner Strafanzeige und allenfalls Anklageerhebung an die Bundesanwaltschaft zurückzuweisen. Für das bundesgerichtliche Verfahren sei ihm eine Entschädigung von Fr. 2'000.- auszurichten. In prozessualer Hinsicht verlangt der Beschwerdeführer die Durchführung eines Schriftenwechsels und ersucht um unentgeltliche Rechtspflege.</w:t>
      </w:r>
    </w:p>
    <w:p>
      <w:r>
        <w:rPr>
          <w:b/>
        </w:rPr>
        <w:t>E. 3</w:t>
      </w:r>
    </w:p>
    <w:p>
      <w:r>
        <w:t>Mit hier nicht in Betracht fallenden Ausnahmen ist die Beschwerde an das Bundesgericht gegen Entscheide der Beschwerdekammer des Bundesstrafgerichts unzulässig ( Art. 79 BGG ), worauf die Vorinstanz den Beschwerdeführer in der Rechtsmittelbelehrung des Beschlusses vom 4. August 2021 explizit hinwies. Eine subsidiäre Verfassungsbeschwerde fällt vorliegend ebenfalls nicht in Betracht, da diese gemäss Art. 113 BGG einzig gegen Entscheide letzter kantonaler Instanzen gegeben ist.</w:t>
      </w:r>
    </w:p>
    <w:p>
      <w:r>
        <w:rPr>
          <w:b/>
        </w:rPr>
        <w:t>E. 4</w:t>
      </w:r>
    </w:p>
    <w:p>
      <w:r>
        <w:t>Auf die Beschwerden ist im Verfahren nach Art. 108 BGG nicht einzutreten, womit der Antrag auf Durchführung eines Schriftenwechsels gegenstandslos wird. Das Gesuch um unentgeltliche Rechtspflege ist wegen Aussichtslosigkeit der Rechtsbegehren abzuweisen ( Art. 64 Abs. 1 BGG ). Die vorliegende Sachlage ist in prozessualer Hinsicht identisch mit einem vom Beschwerdeführer bereits angehobenen Verfahren, weshalb ein Verzicht auf Verfahrenskosten ausser Betracht fällt und dem Beschwerdeführer reduzierte Gerichtskosten aufzuerlegen sind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