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6B_893/2013 vom 9. Oktober 2013</w:t>
      </w:r>
    </w:p>
    <w:p>
      <w:r>
        <w:t>Bundesgericht, 2013-10-09, DE</w:t>
      </w:r>
    </w:p>
    <w:p>
      <w:r>
        <w:rPr>
          <w:b/>
        </w:rPr>
        <w:t xml:space="preserve">Quelle: </w:t>
      </w:r>
      <w:r>
        <w:t>https://mcp.opencaselaw.ch/entscheid/bger_6B_893_2013</w:t>
      </w:r>
    </w:p>
    <w:p>
      <w:r>
        <w:t>FR: TF 6B_893/2013 du 9 octobre 2013</w:t>
      </w:r>
    </w:p>
    <w:p>
      <w:r>
        <w:t>IT: TF 6B_893/2013 del 9 ottobre 2013</w:t>
      </w:r>
    </w:p>
    <w:p>
      <w:pPr>
        <w:pStyle w:val="Heading2"/>
      </w:pPr>
      <w:r>
        <w:t>Erwägungen</w:t>
      </w:r>
    </w:p>
    <w:p>
      <w:r>
        <w:rPr>
          <w:b/>
        </w:rPr>
        <w:t>E. 1</w:t>
      </w:r>
    </w:p>
    <w:p>
      <w:r>
        <w:t>Das Kantonsgericht von Graubünden trat am 9. September 2013 auf eine Berufung nicht ein, weil der Beschwerdeführer das Rechtsmittel nicht gemäss Art. 399 Abs. 3 StPO erklärt hatte. Mit der Frage der unterbliebenen Berufungserklärung befasst sich der Beschwerdeführer in seiner Eingabe ans Bundesgericht nicht, weshalb diese keine Begründung enthält, wie sie von Art. 42 Abs. 2 BGG verlangt wird. Zur materiellen Seite des Falles kann sich das Bundesgericht nicht äussern, weil diese nicht Gegenstand des angefochtenen Entscheids ist. Auf die Beschwerde ist mangels einer tauglichen Begründung im Verfahren nach Art. 108 BGG nicht einzutreten.</w:t>
      </w:r>
    </w:p>
    <w:p>
      <w:r>
        <w:rPr>
          <w:b/>
        </w:rPr>
        <w:t>E. 2</w:t>
      </w:r>
    </w:p>
    <w:p>
      <w:r>
        <w:t>Die Gerichtskosten sind dem Beschwerdeführer aufzuerlegen ( Art. 66 Abs. 1 BGG ). Das nachträglich sinngemäss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