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6B_892/2022 vom 8. Juni 2023</w:t>
      </w:r>
    </w:p>
    <w:p>
      <w:r>
        <w:t>Bundesgericht, 2023-06-08, DE</w:t>
      </w:r>
    </w:p>
    <w:p>
      <w:r>
        <w:rPr>
          <w:b/>
        </w:rPr>
        <w:t xml:space="preserve">Quelle: </w:t>
      </w:r>
      <w:r>
        <w:t>https://mcp.opencaselaw.ch/entscheid/bger_6B_892_2022</w:t>
      </w:r>
    </w:p>
    <w:p>
      <w:r>
        <w:t>FR: TF 6B_892/2022 du 8 juin 2023</w:t>
      </w:r>
    </w:p>
    <w:p>
      <w:r>
        <w:t>IT: TF 6B_892/2022 del 8 giugno 2023</w:t>
      </w:r>
    </w:p>
    <w:p>
      <w:pPr>
        <w:pStyle w:val="Heading2"/>
      </w:pPr>
      <w:r>
        <w:t>Erwägungen</w:t>
      </w:r>
    </w:p>
    <w:p>
      <w:r>
        <w:rPr>
          <w:b/>
        </w:rPr>
        <w:t>E. 1</w:t>
      </w:r>
    </w:p>
    <w:p>
      <w:r>
        <w:t>Die Beschwerdeführerin wendet sich gegen die Landesverweisung.</w:t>
      </w:r>
    </w:p>
    <w:p>
      <w:r>
        <w:rPr>
          <w:b/>
        </w:rPr>
        <w:t>E. 1.1</w:t>
      </w:r>
    </w:p>
    <w:p>
      <w:r>
        <w:t>Sie macht zusammengefasst geltend, die Vorinstanz verletze sowohl Art. 66a Abs. 2 StGB als auch Art. 5 Abs. 1 Anhang I des Abkommens zwischen der Schweizerischen Eidgenossenschaft einerseits und der Europäischen Gemeinschaft und ihren Mitgliedstaaten andererseits über die Freizügigkeit (Freizügigkeitsabkommen, FZA; SR. 0.142.112.681). Ihrer aktuellen Situation werde, insbesondere in familiärer Hinsicht und mit Bezug auf die Legalprognose, nicht genügend Rechnung getragen.</w:t>
      </w:r>
    </w:p>
    <w:p>
      <w:r>
        <w:rPr>
          <w:b/>
        </w:rPr>
        <w:t>E. 1.2</w:t>
      </w:r>
    </w:p>
    <w:p>
      <w:r>
        <w:t>Die Vorinstanz verneint einen schweren persönlichen Härtefall und erwägt zusammengefasst, die Beschwerdeführerin sei weder beruflich noch wirtschaftlich in der Schweiz integriert und auch eine anderweitige persönliche Verwurzelung sei nicht erkennbar. Sie sei hoch verschuldet, seit 2013 von der Sozialhilfe abhängig und habe sich nie aktiv und nachhaltig bemüht, wirtschaftlich unabhängig zu werden. Ihre familiäre Situation spreche ebensowenig für einen Härtefall, verfüge doch der leibliche Vater der beiden in der Schweiz lebenden Söhne über die Obhut und sie lediglich über Besuchsrechte. Es liege keine besonders enge und intensive Beziehung zwischen ihr und ihren Söhnen vor. Ihre Lebenssituation falle weder in den Schutzbereich des Familien- noch des Privatlebens i.S.v. Art. 8 EMRK . Weiter führt die Vorinstanz aus, eine Rückkehr in die Slowakische Republik sei ihr ohne Weiteres zumutbar und der Kontakt zu ihren Söhnen könne dabei durch moderne Kommunikationsmittel aufrechterhalten werden. Zwar dürfte sich eine berufliche Integration in ihrem Heimatland oder einem anderen EU-Land nicht ganz leicht gestalten, jedoch sei ihr eine solche in der Schweiz bis anhin ebensowenig gelungen. Trotz ihrer Aufenthaltsdauer von über 10 Jahren in der Schweiz fehle es an den besonders intensiven beruflichen oder gesellschaftlichen Beziehungen, welche die Rechtsprechung verlange. Und schliesslich erwägt die Vorinstanz, selbst bei Bejahung des schweren persönlichen Härtefalls im Sinne eines Grenzfalls würde die Interessenabwägung zu ihren Ungunsten ausfallen.</w:t>
      </w:r>
    </w:p>
    <w:p>
      <w:r>
        <w:rPr>
          <w:b/>
        </w:rPr>
        <w:t>E. 1.3</w:t>
      </w:r>
    </w:p>
    <w:p>
      <w:r>
        <w:t>Art. 66a Abs. 1 lit. c StGB sieht für Ausländer, die wegen gewerbsmässigen Betrugs im Sinne von Art. 146 Abs. 2 StGB verurteilt wurden, unabhängig von der Höhe der Strafe, die obligatorische Landesverweisung für 5-15 Jahre aus der Schweiz vor. Die Beschwerdeführerin ist slowakische Staatsangehörige und wurde unter anderem wegen gewerbsmässigen Betrugs i.S.v. Art. 146 Abs. 2 StGB schuldig gesprochen. Demzufolge sind die Voraussetzungen für eine Landesverweisung gemäss Art. 66a Abs. 1 lit. c StGB grundsätzlich erfüllt.</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rPr>
          <w:b/>
        </w:rPr>
        <w:t>E. 1.4.3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M.M. gegen die Schweiz vom 8. Dezember 2020, Nr. 59006/18, §§ 49; Urteile 6B_255/2021 vom 3. Oktober 2022 E. 1.3.5; 6B_1245/2021 vom 8. Juni 2022 E. 2.3.3; je mit Hinweisen).</w:t>
      </w:r>
    </w:p>
    <w:p>
      <w:r>
        <w:rPr>
          <w:b/>
        </w:rPr>
        <w:t>E. 1.4.4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1.5</w:t>
      </w:r>
    </w:p>
    <w:p>
      <w:r>
        <w:t>Die Vorinstanz prüft das Vorliegen eines schweren persönlichen Härtefalls unter Berücksichtigung der relevanten Kriterien.</w:t>
      </w:r>
    </w:p>
    <w:p>
      <w:r>
        <w:rPr>
          <w:b/>
        </w:rPr>
        <w:t>E. 1.5.1</w:t>
      </w:r>
    </w:p>
    <w:p>
      <w:r>
        <w:t>Die Beschwerdeführerin ist Staatsangehörige der Slowakischen Republik. Sie ist im Jahr 2005 in die Schweiz eingereist und damit zum vorinstanzlichen Urteilszeitpunkt bereits rund 17 Jahre hier. Ob ein Härtefall vorliegt, entscheidet sich indes weder anhand von starren Altersvorgaben, noch führt eine lange Anwesenheitsdauer automatisch zur Annahme eines Härtefalls (vgl. BGE 146 IV 105 E. 3.4.4; 144 IV 332 E. 3.3.2). Entgegen der Auffassung der Beschwerdeführerin spricht ihre Aufenthaltsdauer alleine nicht für einen Härtefall. Vielmehr ist eine Einzelfallprüfung vorzunehmen und dabei zu erörtern, ob eine intensive, über die normale Integration hinausgehende Verwurzelung in der Schweiz vorliegt.</w:t>
      </w:r>
    </w:p>
    <w:p>
      <w:r>
        <w:rPr>
          <w:b/>
        </w:rPr>
        <w:t>E. 1.5.2</w:t>
      </w:r>
    </w:p>
    <w:p>
      <w:r>
        <w:t>Die Vorinstanz verneint eine Integration in wirtschaftlicher Hinsicht zu Recht. Sie hält verbindlich fest, die Beschwerdeführerin beziehe seit 2013 Sozialhilfe und sei hoch verschuldet. Dabei setzt sie sich ausführlich mit der finanziellen Situation der Beschwerdeführerin auseinander und listet auch deren Sozialhilfebezüge auf. Die Beschwerdeführerin führt diesbezüglich lediglich aus, ihre persönliche Situation dürfe nicht ausser Acht gelassen werden. Aufgrund der Trennung und der fehlenden Unterstützung ihres damaligen Noch-Ehemanns habe sie sich dazu genötigt gesehen, Sozialhilfe zu beantragen. Damit setzt sie sich nicht begründet mit den nachvollziehbaren vorinstanzlichen Erwägungen auseinander ( Art. 42 Abs. 2 BGG ; vgl. oben E. 1.4.4) und scheint überdies ihre desolate finanzielle Situation mit Schulden im sechsstelligen Bereich etwas vereinfacht darzustellen. Ebensowenig ist auf ihre Behauptung einzugehen, wonach sie nun versuche, finanziell selber ihre Kosten tragen zu können, und wonach der Wille bestehe, ihren Lebensunterhalt alleine bestreiten zu können. Inwieweit die Vorinstanz ihre finanzielle Situation falsch gewichte und gestützt darauf zu Unrecht einen Härtefall verneine, macht sie weder begründet geltend noch ist dies ersichtlich.</w:t>
      </w:r>
    </w:p>
    <w:p>
      <w:r>
        <w:rPr>
          <w:b/>
        </w:rPr>
        <w:t>E. 1.5.3</w:t>
      </w:r>
    </w:p>
    <w:p>
      <w:r>
        <w:t>Die Vorinstanz erachtet die berufliche Integration der Beschwerdeführerin als nicht gelungen. Dabei berücksichtigt sie nachvollziehbar, dass die Beschwerdeführerin seit 2013 von der Sozialhilfe abhängig ist und auch in den Jahren 2019 und 2020 trotz Aufforderung des Migrationsamts des Kantons Thurgau keiner Berufstätigkeit nachgegangen ist. Nicht zu beanstanden ist in diesem Zusammenhang auch die Argumentation der Vorinstanz, wonach trotz der Angabe der Beschwerdeführerin an der mündlichen Berufungsverhandlung, wonach sie nun zu 100 % arbeite, nicht von einem sicheren und gefestigten Arbeitsverhältnis ausgegangen werden könne, da sich die Beschwerdeführerin zu diesem Zeitpunkt noch in der Probezeit befunden und (noch) nicht über einen (unbefristeten) Arbeitsvertrag verfügt habe. Auf diese ausführlichen Erwägungen zu ihrer beruflichen Situation geht die Beschwerdeführerin nicht ein ( Art. 42 Abs. 2 BGG ).</w:t>
      </w:r>
    </w:p>
    <w:p>
      <w:r>
        <w:rPr>
          <w:b/>
        </w:rPr>
        <w:t>E. 1.5.4</w:t>
      </w:r>
    </w:p>
    <w:p>
      <w:r>
        <w:t>Die familiäre Situation der Beschwerdeführerin begründet ebenfalls keinen schweren persönlichen Härtefall. Die Vorinstanz berücksichtigt zu Recht, dass zwei der drei Söhne der Beschwerdeführerin zwar in der Schweiz leben, der leibliche Vater und Ex-Ehemann der Beschwerdeführerin aber die Obhut über die Kinder hat. Die Beschwerdeführerin verfügt nach den verbindlichen Feststellungen der Vorinstanz lediglich über Besuchsrechte (vgl. oben E. 1.4.2). Unter diesem Gesichtspunkt ist nicht zu beanstanden, wenn die Vorinstanz eine besonders enge und intensive Beziehung zwischen der Beschwerdeführerin und ihren Söhnen verneint. Was diese dagegen vorbringt, verfängt nicht, zumal sie grösstenteils lediglich ihre eigene Sicht der Dinge präsentiert, ohne sich dabei mit der Argumentation der Vorinstanz begründet auseinanderzusetzen. So führt sie beispielsweise aus, entgegen der Auffassung der Vorinstanz bestehe sehr wohl ein enges Verhältnis zu ihren Söhnen; immerhin habe der jüngere Sohn B.________ bis kurz vor der Scheidung bei ihr gelebt. Auch in dieser Hinsicht vermag sie den Begründungsanforderungen nicht zu genügen (Art. 42 Abs. 2, 106 Abs. 2 BGG).</w:t>
      </w:r>
    </w:p>
    <w:p>
      <w:r>
        <w:t>Soweit sich die Beschwerdeführerin auf die Zeit nach dem vorinstanzlichen Entscheid vom 28. März 2022 bezieht und geltend macht, ihre Situation habe sich wiederum geändert, ist darauf nicht einzugehen. Noven sind vor dem Bundesgericht nicht zulässig ( Art. 99 Abs. 1 BGG ).</w:t>
      </w:r>
    </w:p>
    <w:p>
      <w:r>
        <w:t>Wie die Vorinstanz mit Bezug auf den Kontakt der Beschwerdeführerin zu ihren Söhnen im Falle einer Landesverweisung überzeugend darlegt, kann dieser durch moderne Kommunikationsmittel aufrechterhalten werden. Zudem erwägt die Vorinstanz, als EU-Bürgerin könnte die Beschwerdeführerin allenfalls im grenznahen Ausland Wohnsitz nehmen und diesfalls das Familienleben weiterhin in dem Umfang leben, wie es das Scheidungsurteil vorsehe. Soweit die Beschwerdeführerin diesbezüglich geltend macht, ihr Ex-Ehemann würde die Söhne nicht zu ihr bringen, setzt sie sich nicht mit den Ausführungen der Vorinstanz, wonach sie sich an die zuständigen Behörden wenden könne, sollte es bei den Besuchen oder dem Kontakt mit B.________ zu Schwierigkeiten kommen, auseinander. Insgesamt ist nicht zu beanstanden, wenn die Vorinstanz gestützt auf den verbindlich festgestellten Sachverhalt erwägt, der Schutzbereich des Familienlebens von Art. 8 EMRK sei nicht betroffen.</w:t>
      </w:r>
    </w:p>
    <w:p>
      <w:r>
        <w:rPr>
          <w:b/>
        </w:rPr>
        <w:t>E. 1.5.5</w:t>
      </w:r>
    </w:p>
    <w:p>
      <w:r>
        <w:t>Die Vorinstanz verneint einen schweren persönlichen Härtefall i.S.v. Art. 66a Abs. 2 StGB zu Recht. Entsprechend erübrigt sich eine Interessenabwägung und eine Beurteilung der diesbezüglichen Vorbringen der Beschwerdeführerin. Die Landesverweisung erweist sich insoweit als rechtskonform.</w:t>
      </w:r>
    </w:p>
    <w:p>
      <w:r>
        <w:rPr>
          <w:b/>
        </w:rPr>
        <w:t>E. 1.6.1</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6B_134/2021 vom 20. Juni 2022 E. 5.3.6; 6B_149/2021 vom 3. Februar 2022 E. 2.7.1; 6B_780/2020 vom 2. Juni 2021 E. 1.3.4;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6B_244/2021 vom 17. April 2023 E. 6.3.6; 6B_134/2021 vom 20. Juni 2022 E. 5.3.6;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6B_244/2021 vom 17. April 2023 E. 6.3.6; 6B_134/2021 vom 20. Juni 2022 E. 5.3.6; je mit Hinweisen).</w:t>
      </w:r>
    </w:p>
    <w:p>
      <w:r>
        <w:rPr>
          <w:b/>
        </w:rPr>
        <w:t>E. 1.6.2</w:t>
      </w:r>
    </w:p>
    <w:p>
      <w:r>
        <w:t>Die Vorinstanz prüft in der Folge die Vereinbarkeit der Landesverweisung mit dem FZA und erwägt, die finanzielle Lage der Beschwerdeführerin erweise sich nach wie vor als angespannt. Es sei davon auszugehen, dass ein erhöhtes Risiko für ähnliche Straftaten bestehe. Selbst wenn die Beschwerdeführerin nun einer regelmässigen Arbeit nachgehe oder dies zumindest versuche, würden ihre finanziellen Schwierigkeiten bei den hohen Schulden weiterhin andauern. Hinzu komme die fehlende Reue und Einsicht, die auf eine Gleichgültigkeit gegenüber der hiesigen Rechtsordnung schliessen lasse. Insgesamt reiche die erhebliche Gefahr für neue Delikte aus, um die öffentliche Ordnung i.S.v. Art. 5 Anhang I FZA zu tangieren und die Landesverweisung als verhältnismässig erscheinen zu lassen.</w:t>
      </w:r>
    </w:p>
    <w:p>
      <w:r>
        <w:rPr>
          <w:b/>
        </w:rPr>
        <w:t>E. 1.6.3</w:t>
      </w:r>
    </w:p>
    <w:p>
      <w:r>
        <w:t>Was die Beschwerdeführerin dagegen vorbringt, überzeugt, soweit überhaupt den Begründungsanforderungen genügend, nicht.</w:t>
      </w:r>
    </w:p>
    <w:p>
      <w:r>
        <w:t>Sie macht geltend, ihr Verschulden sei gering. Entgegen ihrer Auffassung ist bei einer Freiheitsstrafe von 12 Monaten jedoch keineswegs auf ein eindeutig geringes Verschulden zu schliessen, sondern unterstreicht diese Strafe mit der Vorinstanz vielmehr ein nicht unerhebliches strafrechtliches Verschulden. Die Vorbringen der Beschwerdeführerin verfangen auch insoweit nicht, als sie sich gegen die vorinstanzliche Einschätzung ihrer Legalprognose wendet und eine Rückfallgefahr verneint. Der Umstand, dass sie sich in den letzten vier Jahren nichts hat zuschulden kommen lassen, spricht alleine noch nicht dafür, dass eine Rückfallgefahr zu verneinen ist. Aus dem Umstand, dass die finanzielle Lage der Beschwerdeführerin auch schon vor ihrer Tat angespannt war, kann sie nichts für sich ableiten. Die Vorinstanz hebt in diesem Zusammenhang die bereits lange andauernde angespannte finanzielle Lage der Beschwerdeführerin hervor und argumentiert, die finanziellen Schwierigkeiten würden bei den hohen Schulden selbst dann weiterhin andauern, wenn die Beschwerdeführerin einer regelmässigen Arbeit nachgehe. Diese Auffassung ist nicht zu beanstanden. Soweit die Beschwerdeführerin zudem behauptet, sie habe vor der Vorinstanz ihre Reue kundgetan und ihr sei bewusst, dass sie sich schlichtweg nichts mehr zuschulden kommen lassen dürfe, weshalb sie in Zukunft nichts riskieren werde, so ist darauf mangels Auseinandersetzung mit der vorinstanzlichen Entscheidbegründung nicht näher einzugehen ( Art. 42 Abs. 2 BGG ). Überdies begründet die Vorinstanz die Gleichgültigkeit gegenüber der hiesigen Rechtsordnung nachvollziehbar mitunter damit, die Beschwerdeführerin sei einer staatsanwaltschaftlichen Einvernahme und der ersten Hauptverhandlung unentschuldigt ferngeblieben. Gestützt darauf durfte die Vorinstanz ohne Weiteres davon ausgehen, die Legalprognose sei erheblich belastet. Wenn sie daraus ableitet, diese erhebliche Gefahr für erneute Delikte reiche aus, um die öffentliche Ordnung i.S.v. Art. 5 Anhang I FZA zu tangieren, so ist diese Auffassung nicht zu beanstanden. Mit der Vorinstanz erweist sich die Landesverweisung vorliegend auch unter Beachtung des FZA als verhältnismässig.</w:t>
      </w:r>
    </w:p>
    <w:p>
      <w:r>
        <w:rPr>
          <w:b/>
        </w:rPr>
        <w:t>E. 1.7</w:t>
      </w:r>
    </w:p>
    <w:p>
      <w:r>
        <w:t>Zusammenfassend verneint die Vorinstanz einen schweren persönlichen Härtefall i.S.v. Art. 66a Abs. 2 StGB zu Recht und erwägt zudem nachvollziehbar, weshalb der Schutzbereich von Art. 8 EMRK nicht betroffen ist. Die für die Dauer von fünf Jahren ausgesprochene Landesverweisung gegenüber der Beschwerdeführerin erweist sich zudem auch unter Beachtung des FZA als verhältnismässig.</w:t>
      </w:r>
    </w:p>
    <w:p>
      <w:r>
        <w:rPr>
          <w:b/>
        </w:rPr>
        <w:t>E. 2</w:t>
      </w:r>
    </w:p>
    <w:p>
      <w:r>
        <w:t>Die Beschwerde ist abzuweisen, soweit darauf eingetreten werden kann. Die Gerichtskosten sind der Beschwerdeführerin aufzuerlegen ( Art. 66 Abs. 1 BGG ). Das Gesuch um unentgeltliche Rechtspflege und Verbeiständung ist wegen Aussichtslosigkeit abzuweisen ( Art. 64 Abs. 1 BGG ). Den finanziellen Verhältnissen der Beschwerdeführerin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