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889/2013 vom 17. Februar 2014</w:t>
      </w:r>
    </w:p>
    <w:p>
      <w:r>
        <w:t>Bundesgericht, 2014-02-17, FR</w:t>
      </w:r>
    </w:p>
    <w:p>
      <w:r>
        <w:rPr>
          <w:b/>
        </w:rPr>
        <w:t xml:space="preserve">Quelle: </w:t>
      </w:r>
      <w:r>
        <w:t>https://mcp.opencaselaw.ch/entscheid/bger_6B_889_2013</w:t>
      </w:r>
    </w:p>
    <w:p>
      <w:r>
        <w:t>FR: TF 6B 889/2013 du 17 février 2014</w:t>
      </w:r>
    </w:p>
    <w:p>
      <w:r>
        <w:t>IT: TF 6B 889/2013 del 17 febbraio 2014</w:t>
      </w:r>
    </w:p>
    <w:p>
      <w:pPr>
        <w:pStyle w:val="Heading2"/>
      </w:pPr>
      <w:r>
        <w:t>Regeste</w:t>
      </w:r>
    </w:p>
    <w:p>
      <w:r>
        <w:t>Légitime défense, attaque illicite, arbitraire | Infractions</w:t>
      </w:r>
    </w:p>
    <w:p>
      <w:pPr>
        <w:pStyle w:val="Heading2"/>
      </w:pPr>
      <w:r>
        <w:t>Erwägungen</w:t>
      </w:r>
    </w:p>
    <w:p>
      <w:r>
        <w:rPr>
          <w:b/>
        </w:rPr>
        <w:t>E. 1</w:t>
      </w:r>
    </w:p>
    <w:p>
      <w:r>
        <w:t>Le recourant qualifie d'arbitraire la manière dont la cour cantonale a interprété les faits par lesquels elle justifie le caractère disproportionné de la légitime défense, de même que son omission de tenir compte du nombre d'adversaires, de la soudaineté de l'attaque, de la violence des actes qui l'ont précédé ainsi que des conséquences pour la victime qui s'est défendue. 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Sur ce point, le recourant cherche en réalité à substituer sa propre appréciation des faits à celle de la cour cantonale. Il ne montre pas en quoi ces faits ou le raisonnement de cette dernière seraient insoutenables. Purement appellatoire, ce grief est irrecevable.</w:t>
      </w:r>
    </w:p>
    <w:p>
      <w:r>
        <w:rPr>
          <w:b/>
        </w:rPr>
        <w:t>E. 2</w:t>
      </w:r>
    </w:p>
    <w:p>
      <w:r>
        <w:t>Le recourant soutient que l'autorité cantonale a violé l' art. 15 CP en considérant qu'il avait excédé les limites de la légitime défense.</w:t>
      </w:r>
    </w:p>
    <w:p>
      <w:r>
        <w:rPr>
          <w:b/>
        </w:rPr>
        <w:t>E. 2.1</w:t>
      </w:r>
    </w:p>
    <w:p>
      <w:r>
        <w:t>Aux termes de l' art. 15 CP ,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104 IV 232 consid. c p. 236 s.). Une attaque n'est cependant pas achevée aussi longtemps que le risque d'une nouvelle atteinte ou d'une aggravation de celle-ci par l'assaillant reste imminent (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 L' art. 15 CP n'accorde pas le droit de se défendre simplement à titre subsidiaire, c'est-à-dire pour le cas où la personne attaquée ou menacée ne peut se mettre sous la protection de la police ou échapper à l'attaque en fuyant ( ATF 79 IV 148 consid. 2 p. 152; 101 IV 119 p. 121).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 ATF 104 IV 53 consid. 2a p. 56), ni le fait de prévoir l'attaque et de s'y préparer, sans toutefois y inciter (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w:t>
      </w:r>
    </w:p>
    <w:p>
      <w:r>
        <w:rPr>
          <w:b/>
        </w:rPr>
        <w:t>E. 2.2</w:t>
      </w:r>
    </w:p>
    <w:p>
      <w:r>
        <w:t>La cour cantonale a constaté que, dans le contexte d'une altercation qui avait débuté à l'intérieur d'un bar, six personnes s'étaient retrouvées à l'extérieur de cet établissement. Deux groupes s'affrontaient, composés du recourant et de C.________ d'un côté et de quatre personnes dont l'intimé de l'autre. La tension est montée après que C.________ s'en est pris à l'un de ses adversaires et que le frère de ce dernier a tenté de le défendre. Lors de la dispute verbale qui s'en est suivie, le recourant a sorti un couteau et s'est mis à « brasser de l'air » afin de maintenir ses adversaires à distance. L'intimé a alors tenté de le désarmer en lui donnant un coup de pied dans la main, ensuite de quoi le recourant s'est retourné et a infligé à son adversaire quatre coups de couteau, dans la fesse et le dos. Sans le réflexe de l'intimé, qui a levé le bras pour se protéger, les coups auraient pu avoir des conséquences bien plus dramatiques. L'arrêt attaqué considère que le recourant a fait l'objet d'une attaque illicite de la part de l'intimé lorsque ce dernier lui a asséné un coup de pied dans la main afin de lui faire lâcher le couteau qu'il tenait. Il n'y a pas lieu de revenir sur cette appréciation qui n'est pas remise en question. Seule demeure litigieuse pour l'application de l' art. 15 CP la question de la proportionnalité de la défense opposée par le recourant. Ce dernier soutient que sa riposte était proportionnée eu égard à la gravité de l'attaque, au nombre d'agresseurs potentiels ainsi qu'au bien juridique menacé. Il allègue qu'il a répondu à une attaque qui lui a causé des lésions corporelles simples par un acte qui lui a causé des lésions corporelles simples également. Il ressort des constatations de l'autorité cantonale que l'attaque subie par le recourant a consisté en un coup de pied asséné dans la main avec laquelle il tenait son couteau et qu'il devait se rendre compte que son intégrité corporelle n'était soumise à aucune menace plus grave. Alors que son adversaire avait cherché à le désarmer en prenant le risque, qui s'est réalisé, de lui causer des lésions corporelles simples, le recourant lui a infligé quatre coups de couteau susceptibles de provoquer des blessures beaucoup plus sévères voire mortelles. Non seulement le bien juridique menacé par la riposte du recourant était nettement plus important que celui qu'il cherchait à défendre mais le nombre de coups qu'il a assénés dénote plus un désir de vengeance qu'une volonté de se défendre. Dans ces conditions, même compte tenu du fait que ses adversaires étaient en supériorité numérique, la réaction du recourant était clairement disproportionnée et la cour cantonale n'a pas violé le droit fédéral en admettant qu'il avait excédé les limites de la légitime défense.</w:t>
      </w:r>
    </w:p>
    <w:p>
      <w:r>
        <w:rPr>
          <w:b/>
        </w:rPr>
        <w:t>E. 3</w:t>
      </w:r>
    </w:p>
    <w:p>
      <w:r>
        <w:t>Le recourant soutient qu'il y a lieu dans ce cas de faire application de l' art. 16 al. 2 CP .</w:t>
      </w:r>
    </w:p>
    <w:p>
      <w:r>
        <w:rPr>
          <w:b/>
        </w:rPr>
        <w:t>E. 3.1</w:t>
      </w:r>
    </w:p>
    <w:p>
      <w:r>
        <w:t>En vertu de cette disposition, l'auteur n'agit pas de manière coupable si l'excès de légitime défense provient d'un état excusable d'excitation ou de saisissement causé par l'attaque.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Peur ne signifie pas nécessairement état de saisissement au sens de l' art. 16 al. 2 CP (arrêt 6B_257/2012 du 22 avril 2013 consid. 5.2).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w:t>
      </w:r>
    </w:p>
    <w:p>
      <w:r>
        <w:rPr>
          <w:b/>
        </w:rPr>
        <w:t>E. 3.2</w:t>
      </w:r>
    </w:p>
    <w:p>
      <w:r>
        <w:t>Le recourant fonde son argumentation sur la prémisse que l'attaque de l'intimé était non seulement inattendue mais aussi totalement surprenante. Il soutient en outre que son état d'excitation et de saisissement était excusable étant donné le nombre de ses assaillants. Il va ainsi largement à l'encontre des constatations de la cour cantonale, desquelles il ressort que l'attaque de l'intimé ne peut être qualifiée de déroutante ou d'imprévisible, le coup de pied par lequel celui-ci a cherché à le désarmer n'ayant rien de soudain, d'inattendu ou de surprenant. L'autorité cantonale a par ailleurs relevé que l'état d'excitation du recourant était bien antérieur au coup de pied puisqu'il était déjà énervé par l'alcool et un appel téléphonique avant de quitter le bar. Dans ces circonstances, c'est à juste titre que la cour cantonale a admis que l'attaque ne pouvait pas être tenue pour la cause exclusive ni même prépondérante de l'excitation du recourant, qui était préexistante. Par ailleurs, eu égard à la violence de la riposte, on ne saurait considérer que l'état d'excitation ou de saisissement dans lequel pouvait se trouver le recourant à ce moment-là était excusable et justifiait une telle réaction.</w:t>
      </w:r>
    </w:p>
    <w:p>
      <w:r>
        <w:rPr>
          <w:b/>
        </w:rPr>
        <w:t>E. 4</w:t>
      </w:r>
    </w:p>
    <w:p>
      <w:r>
        <w:t>Mal fondé, le recours doit être rejeté dans la mesure où il est recevable. Comme ses conclusions étaient vouées à l'échec, l'assistance judiciaire ne peut être accordée ( art. 64 al. 1 LTF ). Le recourant, qui succombe, devra donc supporter les frais (art. 66 al 1 LTF),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