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6B_889/2009 vom 20. Januar 2010</w:t>
      </w:r>
    </w:p>
    <w:p>
      <w:r>
        <w:t>Bundesgericht, 2010-01-20, DE</w:t>
      </w:r>
    </w:p>
    <w:p>
      <w:r>
        <w:rPr>
          <w:b/>
        </w:rPr>
        <w:t xml:space="preserve">Quelle: </w:t>
      </w:r>
      <w:r>
        <w:t>https://mcp.opencaselaw.ch/entscheid/bger_6B_889_2009</w:t>
      </w:r>
    </w:p>
    <w:p>
      <w:r>
        <w:t>FR: TF 6B_889/2009 du 20 janvier 2010</w:t>
      </w:r>
    </w:p>
    <w:p>
      <w:r>
        <w:t>IT: TF 6B_889/2009 del 20 gennaio 2010</w:t>
      </w:r>
    </w:p>
    <w:p>
      <w:pPr>
        <w:pStyle w:val="Heading2"/>
      </w:pPr>
      <w:r>
        <w:t>Erwägungen</w:t>
      </w:r>
    </w:p>
    <w:p>
      <w:r>
        <w:rPr>
          <w:b/>
        </w:rPr>
        <w:t>E. 1</w:t>
      </w:r>
    </w:p>
    <w:p>
      <w:r>
        <w:t>Die Vorinstanz geht von folgendem Sachverhalt aus (angefochtenes Urteil S. 4):</w:t>
      </w:r>
    </w:p>
    <w:p>
      <w:r>
        <w:rPr>
          <w:b/>
        </w:rPr>
        <w:t>E. 1.1</w:t>
      </w:r>
    </w:p>
    <w:p>
      <w:r>
        <w:t>Am 4. Mai 2008 kam es in und vor einem Nachtclub in Rümlang zwischen dem Beschwerdeführer und A._________ sowie weiteren Personen zu einer Auseinandersetzung. Dabei stach der Beschwerdeführer mit einem Taschenmesser, dessen Klingenlänge 5,4 Zentimeter betrug, A._________ in den rechten Unterbauch und fügte diesem hierdurch eine rund 4,5 bis 5 Zentimeter tiefe Verletzung oberhalb der Leistengegend zu.</w:t>
      </w:r>
    </w:p>
    <w:p>
      <w:r>
        <w:rPr>
          <w:b/>
        </w:rPr>
        <w:t>E. 1.2</w:t>
      </w:r>
    </w:p>
    <w:p>
      <w:r>
        <w:t>Rund 40 Minuten später kam es vor einem Nachtclub in Zürich zu einer weiteren Auseinandersetzung, an welcher unter anderem der Beschwerdeführer und B._________ beteiligt waren. Anlässlich dieses Streits stach der Beschwerdeführer mit dem gleichen Messer wie zuvor in Rümlang B._________ in den Rumpf (seitlich über der zehnten Rippe), wodurch dieser eine rund 2 bis 2,2 Zentimeter tiefe Stichverletzung erlitt.</w:t>
      </w:r>
    </w:p>
    <w:p>
      <w:r>
        <w:rPr>
          <w:b/>
        </w:rPr>
        <w:t>E. 2.1</w:t>
      </w:r>
    </w:p>
    <w:p>
      <w:r>
        <w:t>Der Beschwerdeführer lastet der Vorinstanz eine willkürliche Würdigung der Aussagen der einvernommenen Personen an. Im Ergebnis verletze das angefochtene Urteil den aus der Unschuldsvermutung abgeleiteten Grundsatz "in dubio pro reo" (Beschwerde S. 10 - 27, insb. S. 10 - 15).</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(127 I 54 E. 2b).</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 Beweiswürdigung der Vorinstanz vorbringt, ist nicht geeignet, Willkür respektive eine Verletzung des Grundsatzes "in dubio pro reo" darzutun. Mit seinen Ausführungen stellt er der vorinstanzlichen Begründung, welche sich sehr eingehend mit den Aussagen sämtlicher einvernommenen Personen auseinandersetzt (angefochtenes Urteil S. 11 - 25 und S. 25 - 42), über weite Strecken einzig seine eigene Sicht der Dinge gegenüber, indem er darlegt, wie die Aussagen seiner Meinung nach richtigerweise zu würdigen gewesen wären. Dass bzw. inwiefern die Beweiswürdigung der Vorinstanz geradezu willkürlich wäre, vermag er hierdurch jedoch nicht aufzuzeigen.</w:t>
      </w:r>
    </w:p>
    <w:p>
      <w:r>
        <w:t>Dass die Vorinstanz dabei, wie der Beschwerdeführer behauptet, allenfalls fälschlicherweise davon ausgegangen ist, A._________ habe sich nach dem Vorfall nicht mehr gross wegbewegt (angefochtenes Urteil S. 23), macht die Beweiswürdigung als solche nicht willkürlich. Entscheidend ist vielmehr, dass die Vorinstanz, ohne in Willkür zu verfallen, gestützt auf die Aussagen des Geschädigten (angefochtenes Urteil S. 13 f.) und des an der Auseinandersetzung beteiligten Bekannten des Beschwerdeführers, C._________ (angefochtenes Urteil S. 14 - 16), folgern konnte, der Beschwerdeführer sei vom Geschädigten nicht vorab angegriffen respektive nicht unmittelbar mit einem Angriff bedroht worden (vgl. angefochtenes Urteil S. 24 f.). Gleiches gilt insoweit für den zweiten Vorfall (vgl. angefochtenes Urteil S. 42).</w:t>
      </w:r>
    </w:p>
    <w:p>
      <w:r>
        <w:rPr>
          <w:b/>
        </w:rPr>
        <w:t>E. 3.1</w:t>
      </w:r>
    </w:p>
    <w:p>
      <w:r>
        <w:t>Der Beschwerdeführer macht geltend, die Vorinstanz habe im Rahmen ihrer Ausführungen zum Tatbestand der schweren Körperverletzung zu Unrecht auf ein vorsätzliches Handeln geschlossen. Die Art und Weise seiner Tatausführung spreche gegen eine erhebliche Verletzungsabsicht, habe er doch in beiden Fällen nur ein einziges Mal mit einer kurzen Klinge und ohne Wucht zugestochen. Bezeichnend sei, dass die beiden Geschädigten denn auch anfangs ihre Verletzung gar nicht bemerkt hätten. Angelastet werden könne ihm lediglich der Vorsatz hinsichtlich einer einfachen Körperverletzung, wobei er insoweit in gerechtfertigter Notwehr gehandelt habe (Beschwerde S. 16 - 27).</w:t>
      </w:r>
    </w:p>
    <w:p>
      <w:r>
        <w:rPr>
          <w:b/>
        </w:rPr>
        <w:t>E. 3.2</w:t>
      </w:r>
    </w:p>
    <w:p>
      <w:r>
        <w:t>Die Vorinstanz führt aus, es gehöre zum Allgemeinwissen, dass ein Messerstich im Bereich der Leistengegend äusserst gefährlich sei. Der Beschwerdeführer habe denn auch eingestanden, um die möglichen Folgen seines Verhaltens gewusst zu haben (angefochtenes Urteil S. 47 f.). Er habe im Rahmen eines dynamischen Ablaufs und damit unkontrolliert zugestochen. Aufgrund der Art und Weise der Tatbegehung seien die Wahrscheinlichkeit lebensgefährlicher Verletzungen in beiden Fällen derart gross und die Pflichtverletzungen des Beschwerdeführers derart eklatant, dass dessen Verhaltensweise nicht anders interpretiert werden könne, als dass er lebensgefährliche Verletzungen der Opfer in Kauf genommen habe (angefochtenes Urteil S. 53 f.).</w:t>
      </w:r>
    </w:p>
    <w:p>
      <w:r>
        <w:rPr>
          <w:b/>
        </w:rPr>
        <w:t>E. 3.3</w:t>
      </w:r>
    </w:p>
    <w:p>
      <w:r>
        <w:t>Nach Art. 122 StGB wird unter anderem mit Freiheitsstrafe bis zu zehn Jahren oder Geldstrafe nicht unter 180 Tagessätzen bestraft, wer vorsätzlich einen Menschen lebensgefährlich verletzt.</w:t>
      </w:r>
    </w:p>
    <w:p>
      <w:r>
        <w:t>Vorsätzlich begeht ein Verbrechen oder Vergehen, wer die Tat mit Wissen und Willen ausführt ( Art. 12 Abs. 2 Satz 1 StGB ). Vorsätzlich handelt bereits, wer die Verwirklichung der Tat für möglich hält und in Kauf nimmt ( Art. 12 Abs. 2 Satz 2 StGB ).</w:t>
      </w:r>
    </w:p>
    <w:p>
      <w:r>
        <w:t>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131 IV 1 E. 2.2; 130 IV 58 E. 8.2).</w:t>
      </w:r>
    </w:p>
    <w:p>
      <w:r>
        <w:t>Was der Täter wusste, wollte und in Kauf nahm, betrifft sog. innere Tatsachen, ist damit Tatfrage und wird vom Bundesgericht nur auf Willkür überprüft. Rechtsfrage ist hingegen, ob im Lichte der festgestellten Tatsachen der Schluss auf Eventualvorsatz begründet ist ( BGE 133 IV 9 E. 4.1; 130 IV 58 E. 8.5).</w:t>
      </w:r>
    </w:p>
    <w:p>
      <w:r>
        <w:rPr>
          <w:b/>
        </w:rPr>
        <w:t>E. 3.4</w:t>
      </w:r>
    </w:p>
    <w:p>
      <w:r>
        <w:t>Der Schluss der Vorinstanz auf ein eventualvorsätzliches Handeln des Beschwerdeführers verletzt kein Bundesrecht.</w:t>
      </w:r>
    </w:p>
    <w:p>
      <w:r>
        <w:t>Die Sorgfaltspflichtverletzung des Beschwerdeführers wiegt schwer, und bei einem Messerstich in den Lendenbereich ist das Risiko der Tatbestandsverwirklichung, d.h. einer lebensgefährlichen Verletzung des Opfers, auch beim Einsatz einer eher kurzen Messerklinge als hoch einzustufen, zumal der Beschwerdeführer vorliegend unkontrolliert zugestochen hat. Die Vorinstanz hebt in diesem Zusammenhang unter Bezugnahme auf die rechtsmedizinischen Ergebnisse hervor, dass sich in beiden Fällen anatomische Strukturen, deren Verletzung lebensgefährlich hätte sein können, in einem Abstand von rund zwei bis drei Zentimeter zum Stichkanal befunden hätten (angefochtenes Urteil S. 43 f.). Bei beiden Stichen ist es damit letztlich einzig glücklicher Fügung zu verdanken, dass durch die eindringende Messerklinge keine lebensgefährlichen Verletzungen der rechten äusseren Beckenarterie und der inneren rechten Bauchwandarterie bei A._________ respektive der zehnten Zwischenrippenarterie, des Bauchfells oder der Milz bei B._________ bewirkt worden sind (vgl. angefochtenes Urteil S. 44 f.).</w:t>
      </w:r>
    </w:p>
    <w:p>
      <w:r>
        <w:t>An der rechtlichen Bewertung ändert nichts, dass der Beschwerdeführer den Messerstich nicht gezielt ausgeführt hat, läge doch andernfalls nicht bloss eventualvorsätzliches, sondern direktvorsätzliches Handeln vor. Ebenso wenig führt der Umstand, dass der Beschwerdeführer in beiden Fällen "nur" ein Mal zugestochen hat, zu einer Verneinung des Eventualvorsatzes (vgl. hierzu auch Urteil 6B_239/2009 vom 13. Juli 2009 E. 1 und 2.4).</w:t>
      </w:r>
    </w:p>
    <w:p>
      <w:r>
        <w:t>Die Vorinstanz folgert zusammenfassend insbesondere angesichts der hohen und dem Beschwerdeführer bekannten Gefahr der Tatbestandsverwirklichung zutreffend, dass sich diesem die Möglichkeit, dass er mit seinem Zustechen den beiden Opfern lebensbedrohliche Verletzungen hätte zufügen können, als so wahrscheinlich aufdrängen musste, dass er mit seinem Handeln diese Folgen in Kauf genommen hat.</w:t>
      </w:r>
    </w:p>
    <w:p>
      <w:r>
        <w:rPr>
          <w:b/>
        </w:rPr>
        <w:t>E. 3.5</w:t>
      </w:r>
    </w:p>
    <w:p>
      <w:r>
        <w:t>Gestützt auf den willkürfrei erstellten Sachverhalt konnte die Vorinstanz des Weiteren ohne Verletzung von Bundesrecht schliessen, es habe in beiden Fällen keine Notwehrlage bestanden, da der Beschwerdeführer nicht angegriffen und auch nicht unmittelbar mit einem Angriff bedroht worden sei (vgl. insbesondere angefochtenes Urteil S. 22 - 25 und S. 38 - 42 sowie E. 2.3 hiervor). Ebenso konnte sie das Vorbringen des Beschwerdeführers, er sei jedenfalls einem Sachverhaltsirrtum unterlegen und habe daher in Putativnotwehr gehandelt (Beschwerde S. 21 - 27), ausgehend von den tatsächlichen Feststellungen als blosse Schutzbehauptung qualifizieren, so dass sich für die Vorinstanz insoweit nähere Ausführungen erübrigten.</w:t>
      </w:r>
    </w:p>
    <w:p>
      <w:r>
        <w:rPr>
          <w:b/>
        </w:rPr>
        <w:t>E. 4.1</w:t>
      </w:r>
    </w:p>
    <w:p>
      <w:r>
        <w:t>Der Beschwerdeführer wendet sich gegen die Strafzumessung. Er bringt vor, unter Würdigung der konkreten Tatumstände, angesichts der Tatsachen, dass es sich um zwei Versuche handle und bei den Opfern nur geringe Verletzungen bewirkt worden seien, und unter Berücksichtigung seiner Vorstrafenlosigkeit sowie seiner guten Prognose erscheine eine (teilbedingt ausgesprochene) Freiheitsstrafe von zwei Jahren angemessen (Beschwerde S. 27 - 30).</w:t>
      </w:r>
    </w:p>
    <w:p>
      <w:r>
        <w:rPr>
          <w:b/>
        </w:rPr>
        <w:t>E. 4.2</w:t>
      </w:r>
    </w:p>
    <w:p>
      <w:r>
        <w:t>Die Vorinstanz hält fest, die Tatschwere sei objektiv und subjektiv erheblich. Der Beschwerdeführer habe aus nichtigem Anlass attackiert und ohne jeden auch nur ansatzweise nachvollziehbaren Grund gehandelt. Sein Verhalten sei als sinnlos, hinterhältig, rücksichtslos und verwerflich zu taxieren und zeuge von einer nicht zu unterschätzenden kriminellen Energie und Gewaltbereitschaft, welche sich vor allem auch darin manifestiere, dass er nur rund 40 Minuten nach der ersten Tat erneut auf die gleiche Art und Weise zugestochen habe (angefochtenes Urteil S. 61 und S. 63). Ausgehend von den Tatkomponenten sei eine Freiheitsstrafe von rund sieben Jahren sachgerecht. Der vollendete Versuch könne nicht zu einer substanziellen Strafreduktion führen, da es einzig vom Beschwerdeführer nicht beeinflussbaren glücklichen Zufällen zu verdanken sei, dass der Erfolg nicht eingetreten sei. Der Versuch sei im Ergebnis im Umfang von rund sechs Monaten strafreduzierend zu veranschlagen (angefochtenes Urteil S. 64). Strafmindernd zu berücksichtigen seien die Vorstrafenlosigkeit und das Nachtatverhalten des Beschwerdeführers. Insgesamt erscheine eine Freiheitsstrafe von fünf Jahren und sechs Monaten dem Verschulden und den persönlichen Verhältnissen des Beschwerdeführers angemessen (angefochtenes Urteil S. 64 - 68).</w:t>
      </w:r>
    </w:p>
    <w:p>
      <w:r>
        <w:rPr>
          <w:b/>
        </w:rPr>
        <w:t>E. 4.3</w:t>
      </w:r>
    </w:p>
    <w:p>
      <w:r>
        <w:t>Nach Art. 47 Abs. 1 StGB misst das Gericht die Strafe nach dem Verschulden des Täters zu. Es berücksichtigt das Vorleben, die persönlichen Verhältnisse sowie die Wirkung der Strafe auf das Leben der schuldigen Person.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in Strafsachen hin nur in die Strafzumessung ein, wenn die Vorinstanz den gesetzlichen Strafrahmen über- oder unterschreitet, wenn sie von rechtlich nicht massgebenden Kriterien ausgeht oder wenn sie wesentliche Gesichtspunkte ausser Acht lässt bzw. falsch gewichtet ( BGE 134 IV 17 E. 2.1; vgl. zum bisherigen Recht BGE 129 IV 6 E. 6.1; 127 IV 101 E. 2; 124 IV 286 E. 4a).</w:t>
      </w:r>
    </w:p>
    <w:p>
      <w:r>
        <w:rPr>
          <w:b/>
        </w:rPr>
        <w:t>E. 4.4</w:t>
      </w:r>
    </w:p>
    <w:p>
      <w:r>
        <w:t>Die Vorinstanz berücksichtigt in ihren Urteilserwägungen sämtliche relevanten rechtlichen und tatsächlichen Gesichtspunkte und trägt dem Umstand, dass der Erfolg nicht eingetreten ist, hinreichend Rechnung. Auch im Ergebnis bewegt sich die ausgefällte Strafe von fünf Jahren und sechs Monaten innerhalb des dem Sachgericht bei der Strafzumessung zukommenden Ermessensspielraums.</w:t>
      </w:r>
    </w:p>
    <w:p>
      <w:r>
        <w:rPr>
          <w:b/>
        </w:rPr>
        <w:t>E. 5</w:t>
      </w:r>
    </w:p>
    <w:p>
      <w:r>
        <w:t>Damit erübrigt sich ein Eingehen auf den für den Fall eines Freispruchs vom Vorwurf der versuchten schweren Körperverletzung gestellten Antrag des Beschwerdeführers auf Herabsetzung der Genugtuungsbeträge.</w:t>
      </w:r>
    </w:p>
    <w:p>
      <w:r>
        <w:t>Die Beschwerde ist abzuweisen, soweit darauf einzutreten ist. Da das Rechtsmittel von vornherein aussichtslos war, kann dem Gesuch um unentgeltliche Rechtspflege nicht entsprochen werden ( Art. 64 Abs. 1 BGG ).</w:t>
      </w:r>
    </w:p>
    <w:p>
      <w:r>
        <w:t>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