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6B_884/2019 vom 30. Oktober 2019</w:t>
      </w:r>
    </w:p>
    <w:p>
      <w:r>
        <w:t>Bundesgericht, 2019-10-30, FR</w:t>
      </w:r>
    </w:p>
    <w:p>
      <w:r>
        <w:rPr>
          <w:b/>
        </w:rPr>
        <w:t xml:space="preserve">Quelle: </w:t>
      </w:r>
      <w:r>
        <w:t>https://mcp.opencaselaw.ch/entscheid/bger_6B_884_2019</w:t>
      </w:r>
    </w:p>
    <w:p>
      <w:r>
        <w:t>FR: TF 6B_884/2019 du 30 octobre 2019</w:t>
      </w:r>
    </w:p>
    <w:p>
      <w:r>
        <w:t>IT: TF 6B_884/2019 del 30 ottobre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134 III 379 consid. 1.3 p. 383).</w:t>
      </w:r>
    </w:p>
    <w:p>
      <w:r>
        <w:t>En l'occurrence, le recourant n'a pas pris de conclusions en réforme sur le fond de la cause, mais se borne à réclamer le renvoi de celle-ci à une nouvelle autorité de première instance. Il prétend que l'admission de son recours devrait conduire à un renvoi de la cause à une "autorité de première instance différente de celle initialement saisie", en affirmant qu'il ne "servirait à rien de retourner la cause à la Cour d'appel pénale du Tribunal cantonal vaudois puisque la tentation humaine serait grande pour cette Cour d'entendre, sur injonction du Tribunal fédéral, [le témoin dont il requiert l'audition] et ensuite de confirmer son appréciation anticipée relative à l'absence de portée de ce témoignage". Le recourant n'assortit cette conjecture d'aucune argumentation juridique, ne faisant en particulier pas mention de l' art. 107 al. 2 2 ème phrase LTF, mais se contente de suggérer que les autorités cantonales ayant eu à connaître sa cause n'auraient pas été impartiales. Pour le reste, il mélange, dans un mémoire de recours dans lequel les griefs ne sont pas distingués, des considérations portant sur la violation de la présomption d'innocence et du droit d'être entendu.</w:t>
      </w:r>
    </w:p>
    <w:p>
      <w:r>
        <w:t>Au vu de ce qui précède, il est douteux que le recours réponde aux exigences découlant des art. 42 al. 1 et 2 et 106 al. 2 LTF. La question peut demeurer ouverte, compte tenu de ce qui suit.</w:t>
      </w:r>
    </w:p>
    <w:p>
      <w:r>
        <w:rPr>
          <w:b/>
        </w:rPr>
        <w:t>E. 2</w:t>
      </w:r>
    </w:p>
    <w:p>
      <w:r>
        <w:t>Le recourant reproche à la cour cantonale d'avoir refusé l'audition du témoin D.________.</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6B_974/2019 du 25 octobre 2019 consid. 2.1; 6B_727/2019 du 27 septembre 2019 consid. 1.3.1).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2.2</w:t>
      </w:r>
    </w:p>
    <w:p>
      <w:r>
        <w:t>La cour cantonale a exposé que D.________ - dont le témoignage était censé appuyer la version des événements présentée par le recourant - avait été entendu lors des débats de première instance. Même si le recourant contestait l'appréciation du premier juge concernant l'absence de crédibilité du prénommé, ladite appréciation découlait du contenu même du témoignage et des circonstances dans lesquelles celui-ci avait été proposé, non de l'impression laissée par D.________. Une nouvelle audition de ce dernier, au stade des débats d'appel, n'était donc pas nécessaire.</w:t>
      </w:r>
    </w:p>
    <w:p>
      <w:r>
        <w:rPr>
          <w:b/>
        </w:rPr>
        <w:t>E. 2.3</w:t>
      </w:r>
    </w:p>
    <w:p>
      <w:r>
        <w:t>Le recourant ne démontre pas que cette appréciation anticipée de la preuve serait arbitraire, mais se contente - dans les passages de sa motivation que l'on peut distinguer du grief d'arbitraire dans l'établissement des faits - d'affirmer que la cour cantonale aurait dû directement entendre D.________ afin de juger de sa crédibilité. L'autorité précédente a toutefois expressément indiqué que l'impression laissée par le prénommé n'était pas décisive, puisque le contenu des déclarations faites durant les débats de première instance ainsi que les circonstances dans lesquelles le recourant avait signalé l'intérêt du témoignage de D.________ permettaient d'apprécier sa portée. On ne voit pas en quoi une telle considération serait insoutenable. Pour le reste, l'argumentation du recourant revient à critiquer l'appréciation des preuves à laquelle s'est livrée la cour cantonale, ce qu'il convient de traiter dans le cadre du grief d'arbitraire dans l'établissement des faits (cf. consid. 3 infra).</w:t>
      </w:r>
    </w:p>
    <w:p>
      <w:r>
        <w:rPr>
          <w:b/>
        </w:rPr>
        <w:t>E. 3</w:t>
      </w:r>
    </w:p>
    <w:p>
      <w:r>
        <w:t>Le recourant reproche à l'autorité précédente d'avoir apprécié les preuves et établi les faits de manière arbitraire concernant les événements du 5 juin 2017. Il se plaint en outre, à cet égard, d'une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L'autorité précédente a exposé que le recourant n'avait pas contesté avoir consommé beaucoup d'alcool ainsi que des stupéfiants le jour des faits. L'intéressé avait soutenu qu'il n'aurait alors pas été en mesure de conduire, que, en raison de son état, il aurait prêté son véhicule à un inconnu puis aurait, le soir des faits, croisé D.________ près de chez lui. Le recourant avait indiqué avoir ensuite oublié sa rencontre avec le prénommé et ne s'en être souvenu que lorsque celui-ci avait évoqué l'épisode au cours d'une discussion. Il avait enfin prétendu avoir, à l'occasion de ses premières déclarations, répondu, par bravade, ne pas vouloir révéler l'identité de la personne ayant conduit son véhicule au moment de l'accident, avant de se raviser et d'évoquer le prêt de sa voiture à un inconnu.</w:t>
      </w:r>
    </w:p>
    <w:p>
      <w:r>
        <w:t>Selon la cour cantonale, il était invraisemblable que le recourant, même s'il se trouvait dans un "état second" le 5 juin 2017, eût pu prêter son véhicule à un inconnu qui l'aurait ramené chez lui avant d'emprunter sa voiture, sans posséder aucun détail sur l'identité de celui-ci ni aucun moyen de le joindre. En outre, le domicile du recourant était éloigné de tout transport public, de sorte que l'on voyait mal comment l'inconnu en question aurait pu ramener le véhicule accidenté à cet endroit puis rentrer chez lui. Le fait que le recourant eût tout d'abord déclaré qu'il n'entendait pas révéler l'identité du conducteur ayant commis l'accident en précisant qu'il n'était pas "une balance", avant de livrer, plus de deux semaines après les faits, son explication impliquant l'intervention d'un inconnu, discréditait encore sa version des événements. S'agissant du témoignage de D.________, même en admettant que sa découverte plus de quatre mois après les faits ne fût pas suspecte, celui-ci manquait de crédibilité. Ce témoignage émanait ainsi d'un ami du recourant. En outre, il était invraisemblable que le prénommé pût se souvenir avec autant de précision de l'heure à laquelle il avait - le 5 juin 2017 - pris une douche, croisé le recourant et remarqué la prétendue absence de son véhicule, cela après plusieurs mois. Il n'était pas davantage vraisemblable que D.________ se fût souvenu de tels détails, anodins mais décisifs, alors même qu'il avait oublié avoir eu un contact téléphonique avec le recourant vers 18 h le jour des faits, contact qui avait bien eu lieu selon l'analyse du téléphone de ce dernier. Enfin, le témoignage de D.________ ne concordait pas avec les déclarations du recourant, puisque le premier nommé avait indiqué avoir vu l'intéressé rentrer à pied alors que le second avait prétendu avoir été ramené en voiture par l'inconnu auquel il aurait par la suite prêté son véhicule. Ces éléments permettaient d'écarter le témoignage de D.________ et de retenir que le recourant était bien l'auteur des faits.</w:t>
      </w:r>
    </w:p>
    <w:p>
      <w:r>
        <w:rPr>
          <w:b/>
        </w:rPr>
        <w:t>E. 3.3</w:t>
      </w:r>
    </w:p>
    <w:p>
      <w:r>
        <w:t>L'argumentation du recourant est irrecevable dans la mesure où elle consiste à critiquer l'appréciation du témoignage de D.________ à laquelle s'est livré le tribunal de première instance ainsi que les motifs exprimés afin de lui dénier toute crédibilité, puisque seul le jugement attaqué fait l'objet du recours au Tribunal fédéral (cf. art. 80 al. 1 LTF ).</w:t>
      </w:r>
    </w:p>
    <w:p>
      <w:r>
        <w:t>Pour le reste, l'argumentation du recourant se révèle purement appellatoire et, partant, irrecevable, puisqu'elle consiste à substituer sa propre version des événements à celle de la cour cantonale, sans démontrer en quoi celle-ci serait arbitraire. L'intéressé n'explique en particulier aucunement quelle constatation insoutenable aurait pu être tirée des déclarations de D.________, mais se borne à affirmer que le témoignage de ce dernier serait crédible et confirmerait ses allégations impliquant l'intervention d'un mystérieux inconnu. Il n'évoque en revanche aucun élément qui ferait apparaître l'état de fait de la cour cantonale comme arbitraire.</w:t>
      </w:r>
    </w:p>
    <w:p>
      <w:r>
        <w:rPr>
          <w:b/>
        </w:rPr>
        <w:t>E. 4</w:t>
      </w:r>
    </w:p>
    <w:p>
      <w:r>
        <w:t>Le recours doit être rejeté dans la mesure où il est recevable. Comme ses conclusions étaient dépourvues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