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884/2018 vom 5. Februar 2019</w:t>
      </w:r>
    </w:p>
    <w:p>
      <w:r>
        <w:t>Bundesgericht, 2019-02-05, FR</w:t>
      </w:r>
    </w:p>
    <w:p>
      <w:r>
        <w:rPr>
          <w:b/>
        </w:rPr>
        <w:t xml:space="preserve">Quelle: </w:t>
      </w:r>
      <w:r>
        <w:t>https://mcp.opencaselaw.ch/entscheid/bger_6B_884_2018</w:t>
      </w:r>
    </w:p>
    <w:p>
      <w:r>
        <w:t>FR: TF 6B 884/2018 du 5 février 2019</w:t>
      </w:r>
    </w:p>
    <w:p>
      <w:r>
        <w:t>IT: TF 6B 884/2018 del 5 febbraio 2019</w:t>
      </w:r>
    </w:p>
    <w:p>
      <w:pPr>
        <w:pStyle w:val="Heading2"/>
      </w:pPr>
      <w:r>
        <w:t>Regeste</w:t>
      </w:r>
    </w:p>
    <w:p>
      <w:r>
        <w:t>Fixation de la peine, peine complémentaire | Droit pénal (en général)</w:t>
      </w:r>
    </w:p>
    <w:p>
      <w:pPr>
        <w:pStyle w:val="Heading2"/>
      </w:pPr>
      <w:r>
        <w:t>Erwägungen</w:t>
      </w:r>
    </w:p>
    <w:p>
      <w:r>
        <w:rPr>
          <w:b/>
        </w:rPr>
        <w:t>E. 1</w:t>
      </w:r>
    </w:p>
    <w:p>
      <w:r>
        <w:t>Le recourant se plaint d'une violation de l' art. 49 al. 2 CP . Dans son mémoire de recours, il soutient que si le premier juge avait eu à connaître de l'ensemble des faits le 28 février 2018, il " n'aurait pas aggravé de cinq mois la peine fixée et ne l'aurait pas portée à [une peine d'ensemble de] treize mois de privation de liberté, mais se serait arrêté à une peine d'une quotité sensiblement inférieure, sans doute à 10 mois de privation de liberté ".</w:t>
      </w:r>
    </w:p>
    <w:p>
      <w:r>
        <w:rPr>
          <w:b/>
        </w:rPr>
        <w:t>E. 1.1</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p. 267; 141 IV 61 consid. 6.1.2 p. 67; arrêt 6B_879/2016 du 22 juin 2017 consid. 2.1).</w:t>
      </w:r>
    </w:p>
    <w:p>
      <w:r>
        <w:rPr>
          <w:b/>
        </w:rPr>
        <w:t>E. 1.1.1</w:t>
      </w:r>
    </w:p>
    <w:p>
      <w:r>
        <w:t>Le principe de l'aggravation ne s'applique qu'aux peines du même genre. Des peines d'un genre différent doivent être cumulées. Le juge ne peut prononcer une peine privative de liberté d'ensemble que si, dans un cas concret, il choisit la même peine pour toutes les infractions (cf. arrêt 6B_559/2018 du 26 octobre 2018 consid. 1.1 destiné à la publication; ATF 144 IV 217 consid. 2.2 p. 219). Ces conditions valent également pour la peine complémentaire en cas de concours rétrospectif selon l' art. 49 al. 2 CP ( ATF 142 IV 265 consid. 2.3.2 p. 268; 137 IV 57 consid. 4.3.1 p. 58; cf. également arrêt 6B_1037/2018 du 27 décembre 2018 consid. 1.3 destiné à la publication).</w:t>
      </w:r>
    </w:p>
    <w:p>
      <w:r>
        <w:rPr>
          <w:b/>
        </w:rPr>
        <w:t>E. 1.1.2</w:t>
      </w:r>
    </w:p>
    <w:p>
      <w:r>
        <w:t>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6B_1141/2017 du 7 juin 2018 consid. 4.1). Dans ce contexte, le juge doit procéder selon les principes de l' art. 49 al. 1 CP ( ATF 142 IV 265 consid. 2.3.3 p. 268; 138 IV 120 consid. 5.2 p. 122 s.). La peine complémentaire est constituée de la différence entre cette peine d'ensemble et la peine de base, à savoir celle prononcée précédemment ( ATF 141 IV 61 consid. 6.1.2 p. 67; arrêt 6B_1141/2017 précité consid. 4.1). En présence d'un concours rétrospectif, le juge doit exceptionnellement exposer au moyen de chiffres comment il a fixé la peine qu'il prononce ( ATF 142 IV 265 consid. 2.3.3 p. 268; 132 IV 102 consid. 8.3 p. 105; arrêt 6B_984/2016 du 13 septembre 2017 consid. 3.1.4).</w:t>
      </w:r>
    </w:p>
    <w:p>
      <w:r>
        <w:rPr>
          <w:b/>
        </w:rPr>
        <w:t>E. 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1.2.1</w:t>
      </w:r>
    </w:p>
    <w:p>
      <w:r>
        <w:t>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(arrêt 6B_559/2018 précité consid. 1.1.1 destiné à la publication; ATF 144 IV 217 consid. 2.2 p. 220; 142 IV 265 IV 2.3.2 p. 267 s.; 138 IV 120 consid. 5.2 p. 122). Que les dispositions pénales applicables prévoient abstraitement des peines de même genre ne suffit pas ( ATF 144 IV 217 consid. 2.2 p. 219 s.; 138 IV 120 consid. 5.2 p. 123). Si les sanctions envisagées concrètement ne sont pas du même genre, elles doivent être prononcées cumulativement ( ATF 142 IV 265 consid. 2.3.2 p. 267; 138 IV 120 consid. 5.2 p. 122; 137 IV 57 consid. 4.3.1 p. 58). La peine privative de liberté et la peine pécuniaire ne sont pas des sanctions du même genre (arrêt 6B_559/2018 précité consid. 1.1.1; ATF 144 IV 217 consid. 2.2 p. 220;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(arrêt 6B_559/2018 précité consid. 1.1.1; ATF 134 IV 97 consid. 4.2.2 p. 100 s.). Le choix de la sanction doit être opéré en tenant compte au premier chef de l'adéquation de la peine, de ses effets sur l'auteur et sur sa situation sociale ainsi que de son efficacité du point de vue de la prévention (arrêt 6B_559/2018 précité consid. 1.1.1; ATF 137 II 297 consid. 2.3.4 p. 301; 134 IV 97 consid. 4.2 p. 100). La faute de l'auteur n'est en revanche pas déterminante ( ATF 137 II 297 consid. 2.3.4 p. 301).</w:t>
      </w:r>
    </w:p>
    <w:p>
      <w:r>
        <w:rPr>
          <w:b/>
        </w:rPr>
        <w:t>E. 1.2.2</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6B_559/2018 précité consid. 1.1.2; cf. ATF 127 IV 101 consid. 2b p. 104; arrêt 6B_688/2014 du 22 décembre 2017 consid. 27.2.1; plus récemment arrêt 6B_1175/2017 du 11 avril 2018 consid. 2.1). La jurisprudence avait admis que le juge puisse s'écarter de cette méthode concrète dans plusieurs configurations (cf. ATF 144 IV 217 consid. 2.4 p. 222 s.), notamment lorsque les différentes infractions étaient étroitement liées sur les plans matériel et temporel, de sorte qu'elles ne pouvaient être séparées et être jugées pour elles seules (arrêt 6B_1216/2017 du 11 juin 2018 consid. 1.1.1). Le Tribunal fédéral avait également considéré, exceptionnellement, conforme à l' art. 49 al. 1 CP une peine d'ensemble fixée sans qu'une peine hypothétique ait été préalablement arrêtée pour chaque infraction commise, dans un cas où aucune des infractions à trancher n'était clairement plus grave que les autres ( ATF 144 IV 217 consid. 2.4 p. 222 s. se référant à l'arrêt 6B_499/2013 du 22 octobre 2013 consid. 1.8). Au vu des critiques formulées quant à l'insécurité que ces exceptions créaient et afin d'assurer une application uniforme de l' art. 49 al. 1 CP , le Tribunal fédéral est toutefois revenu sur ce point en soulignant que cette disposition ne prévoyait aucune exception (arrêt 6B_559/2018 précité consid. 1.1.2; cf. ATF 144 IV 217 consid. 3.5.4 p. 235 ss).</w:t>
      </w:r>
    </w:p>
    <w:p>
      <w:r>
        <w:rPr>
          <w:b/>
        </w:rPr>
        <w:t>E. 1.3</w:t>
      </w:r>
    </w:p>
    <w:p>
      <w:r>
        <w:t>En l'espèce, la cour cantonale a d'abord relevé à juste titre que le premier juge avait fixé une peine privative de liberté de 150 jours " expressément complémentaire " aux peines privatives de liberté de huit mois et de 20 jours prononcées les 9 août 2016 et 8 novembre 2016 respectivement, sans tenir compte des principes découlant de la jurisprudence relatifs à l' art. 49 al. 2 CP . En effet, avant de fixer la quotité de la peine complémentaire infligée, le premier juge n'avait pas procédé à une évaluation d'une peine d'ensemble théorique, en se plaçant dans la situation d'un juge qui aurait eu à connaître de l'ensemble des infractions en cause. La cour cantonale, quant à elle, a jugé qu'un juge saisi de l'ensemble des faits aurait prononcé une peine privative de liberté d'ensemble de 14 mois. Elle s'est fondée sur la culpabilité " écrasante " du recourant, sur ses nombreux antécédents, sur son absence complète de prise de conscience ainsi que sur le fait qu'il n'existait aucune circonstance à décharge. Elle a ensuite relevé que la peine complémentaire aurait dû être fixée à cinq mois et dix jours, en additionnant les peines de huit mois et de 20 jours prononcées le 9 août 2016 et le 8 novembre 2016 respectivement. En application de l' art. 391 al. 1 1 ère phrase CPP, elle n'a cependant pas réformé la peine in pejus, soit au détriment du prévenu, en y ajoutant dix jours. Elle a dès lors confirmé la peine privative de liberté de 150 jours prononcée par le premier juge, par substitution de motifs.</w:t>
      </w:r>
    </w:p>
    <w:p>
      <w:r>
        <w:rPr>
          <w:b/>
        </w:rPr>
        <w:t>E. 1.4</w:t>
      </w:r>
    </w:p>
    <w:p>
      <w:r>
        <w:t>L'approche de la cour cantonale ne peut être suivie. Elle ne pouvait pas, dans le cas d'espèce, fixer une peine hypothétique unique de 14 mois en procédant à un examen global de toutes les infractions à juger et confirmer le prononcé d'une peine privative de liberté de 150 jours. Force est de constater qu'elle n'a pas examiné, conformément à la jurisprudence précitée (supra consid. 1.1.1 et 1.2.1), pour chaque infraction commise, la nature de la peine à prononcer pour chacune d'elle. Or, dans le présent cas, le recourant a notamment été condamné pour voies de fait, infraction passible d'une amende, et injure, infraction passible d'une peine pécuniaire. Les conditions de l' art. 49 al. 2 CP , à savoir qu'il doit s'agir de peines du même genre que la peine de base (cf. ATF 142 IV 265 consid. 2.4.2 p. 269) - soit en l'occurrence une peine privative de liberté - n'étaient pas remplies. Ainsi, conformément à la jurisprudence précitée (cf. supra consid. 1.2.1), s'agissant de peines qui ne sont pas du même genre - amende et peine pécuniaire -, celles-ci auraient dû être prononcées cumulativement. En ce qui concerne les autres infractions pour lesquelles le recourant a été condamné - lésions corporelles simples, dommages à la propriété et infraction à la Loi fédérale sur les étrangers - lesquelles sont passibles d'une peine privative de liberté ou d'une peine pécuniaire, l'application de l' art. 49 al. 2 CP n'entrait en considération que si la cour cantonale envisageait, dans le cas concret, une peine privative de liberté pour chacune de ces infractions. Il lui incombait donc préalablement d'examiner pour chacune de ces infractions si elle justifiait concrètement une peine pécuniaire ou une peine privative de liberté (cf. supra consid. 1.2.1). Ce n'est que si les peines hypothétiques envisagées pour ces infractions étaient des peines privatives de liberté que la cour cantonale pouvait appliquer l' art. 49 al. 2 CP et fixer une peine d'ensemble hypothétique. Il ressort de ce qui précède que, si les conditions pour prononcer une peine complémentaire au sens de l' art. 49 al. 2 CP sont effectivement réalisées, il incombera à la cour cantonale, dans un premier temps, de fixer la peine d'ensemble hypothétique, en augmentant la peine de base déjà entrée en force (et sur laquelle le deuxième juge ne peut pas revenir; cf. ATF 142 IV 265 consid. 2.4.1 p. 268 s.) dans une juste proportion pour tenir compte des différentes peines à prononcer pour les nouvelles infractions à juger, d'après les principes de l' art. 49 al. 1 CP (cf. sur ce point ATF 142 IV 265 consid. 2.4.4 p. 271 s.). Dans un second temps, afin de déterminer la peine complémentaire, elle déduira la peine de base entrée en force de la peine d'ensemble hypothétique.</w:t>
      </w:r>
    </w:p>
    <w:p>
      <w:r>
        <w:rPr>
          <w:b/>
        </w:rPr>
        <w:t>E. 2</w:t>
      </w:r>
    </w:p>
    <w:p>
      <w:r>
        <w:t>Au vu de ce qui précède, le recours doit être admis, le jugement attaqué annulé et la cause renvoyée à l'autorité précédente pour nouvelle décision dans le sens des considérants. Le recourant qui obtient gain de cause ne supportera pas de frais judiciaires ( art. 66 al. 1 LTF ). Il a droit à des dépens à la charge du canton de Vaud ( art. 68 al. 1 LTF ). Cela rend sans objet sa demande d'assistance judiciaire. La cause étant tranchée, la requête d'effet suspensif devient sans objet. Elle l'était, au demeurant, de toute manière en vertu de l'art. 103al.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