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6B_883/2020 vom 15. April 2021</w:t>
      </w:r>
    </w:p>
    <w:p>
      <w:r>
        <w:t>Bundesgericht, 2021-04-15, FR</w:t>
      </w:r>
    </w:p>
    <w:p>
      <w:r>
        <w:rPr>
          <w:b/>
        </w:rPr>
        <w:t xml:space="preserve">Quelle: </w:t>
      </w:r>
      <w:r>
        <w:t>https://mcp.opencaselaw.ch/entscheid/bger_6B_883_2020</w:t>
      </w:r>
    </w:p>
    <w:p>
      <w:r>
        <w:t>FR: TF 6B_883/2020 du 15 avril 2021</w:t>
      </w:r>
    </w:p>
    <w:p>
      <w:r>
        <w:t>IT: TF 6B_883/2020 del 15 aprile 2021</w:t>
      </w:r>
    </w:p>
    <w:p>
      <w:pPr>
        <w:pStyle w:val="Heading2"/>
      </w:pPr>
      <w:r>
        <w:t>Erwägungen</w:t>
      </w:r>
    </w:p>
    <w:p>
      <w:r>
        <w:rPr>
          <w:b/>
        </w:rPr>
        <w:t>E. 1</w:t>
      </w:r>
    </w:p>
    <w:p>
      <w:r>
        <w:t>La question de savoir si les pièces produites par les autorités cantonales en date du 18 août 2020 son recevables (cf. art. 99 LTF ), tout comme celle de la recevabilité de l'écriture du recourant datée du 27 août 2020 et postée le 28 août 2020 et de son annexe (cf. art. 100 al. 1 LTF ; art. 99 LTF ), souffrent de rester indécises, compte tenu de ce qui suit.</w:t>
      </w:r>
    </w:p>
    <w:p>
      <w:r>
        <w:rPr>
          <w:b/>
        </w:rPr>
        <w:t>E. 2</w:t>
      </w:r>
    </w:p>
    <w:p>
      <w:r>
        <w:t>Dans ses écritures, le recourant revient notamment sur le courrier du Tribunal de police du 11 mars 2020 (cf. supra B) et soutient ne jamais l'avoir reçu. On comprend qu'il se plaint, en invoquant son droit à un procès équitable ( art. 6 CEDH ) et son droit d'être entendu ( art. 29 al. 2 Cst. ), de ne pas avoir été informé du traitement de son dossier par le Tribunal de police et ne pas avoir pu, faute d'avoir reçu le courrier précité, obtenir la tenue d'une audience.</w:t>
      </w:r>
    </w:p>
    <w:p>
      <w:r>
        <w:rPr>
          <w:b/>
        </w:rPr>
        <w:t>E. 2.1.1</w:t>
      </w:r>
    </w:p>
    <w:p>
      <w:r>
        <w:t>Compris comme l'un des aspects de la notion générale de procès équitable ancrée à l' art. 29 Cst. , le droit d'être entendu, tel qu'il est garanti par l' art. 29 al. 2 Cst. (cf. aussi art. 6 par. 1 CEDH ; art. 3 al. 2 let . c CPP), englobe notamment, pour le justiciable, le droit de s'exprimer sur les éléments pertinents avant qu'une décision soit prise touchant sa situation juridique ( ATF 146 IV 218 consid. 3.1.1 p. 221; 145 I 73 consid. 7.2.2.1 p. 103; 144 I 11 consid. 5.3 p. 17; 143 V 71 consid. 4.1 p. 72; 142 II 218 consid. 2.3 p. 222; 140 I 285 consid. 6.3.1 p. 299). Le droit d'être entendu est une garantie de nature formelle, dont la violation entraîne en principe l'annulation de la décision attaquée, indépendamment des chances de succès du recours sur le fond ( ATF 143 IV 380 consid. 1.4.1 p. 386; 142 II 218 consid. 2.8.1 p. 226).</w:t>
      </w:r>
    </w:p>
    <w:p>
      <w:r>
        <w:rPr>
          <w:b/>
        </w:rPr>
        <w:t>E. 2.1.2</w:t>
      </w:r>
    </w:p>
    <w:p>
      <w:r>
        <w:t>Dans la procédure de l'ordonnance pénale ( art. 352 ss CPP ), la procédure devant le tribunal de première instance ( art. 356 CPP ) consécutive à l'opposition (art. 354 s. CPP) concrétise la garantie constitutionnelle ( art. 29a Cst. ) et conventionnelle ( art. 6 ch. 1 CEDH ) de l'accès au juge (cf. ATF 146 IV 30 consid. 1.1.1 p. 32; 142 IV 158 consid. 3.1 p. 159 s. et 3.4 p. 161 s.; 140 IV 82 consid. 2.3 p. 84 et 2.6 p. 86).</w:t>
      </w:r>
    </w:p>
    <w:p>
      <w:r>
        <w:t>Ainsi, conformément à l' art. 356 al. 1 CPP , lorsqu'il décide de maintenir l'ordonnance pénale ( art. 355 al. 3 let. a CPP ), le ministère public transmet sans retard le dossier au tribunal de première instance en vue des débats, l'ordonnance pénale tenant alors lieu d'acte d'accusation. Il s'ensuit une procédure de première instance au sens des art. 328 ss CPP (SCHMID/JOSITSCH, Schweizerische Strafprozessordnung, Praxiskommentar, 3e éd. 2018, n° 1 ad art. 356 CPP ; les mêmes, Handbuch des schweizerischen Strafprozessrechts, 3e éd. 2017, p. 616, n° 1370). Les parties doivent être citées aux débats, ceux-ci étant en principe oraux et publics (ibid.; cf. aussi GILLIÉRON/KILLIAS, in JEANNERET/ KUHN/PERRIER DEPEURSINGE, Commentaire romand, Code de procédure pénale suisse, 2</w:t>
      </w:r>
    </w:p>
    <w:p>
      <w:r>
        <w:t>e éd., Bâle 2019, n° 15 ad art. 356 CPP ; CHRISTIAN SCHWARZENEGGER, in DONATSCH/LIEBER/SUMMERS/WOHLERS (éd.), Kommentar zur Schweizerischen Strafprozessordnung [StPO], Art. 196-457 StPO, 3</w:t>
      </w:r>
    </w:p>
    <w:p>
      <w:r>
        <w:t>e éd. 2020, n° 1 ad art. 356 CPP ).</w:t>
      </w:r>
    </w:p>
    <w:p>
      <w:r>
        <w:t>Selon l' art. 356 al. 2 CPP , le tribunal de première instance statue sur la validité de l'ordonnance pénale et de l'opposition. Seul le tribunal de première instance est compétent pour statuer sur ce point ( ATF 142 IV 201 consid. 2.2 p. 204; 140 IV 192 consid. 1.3 p. 195). C'est donc ce dernier, et non le ministère public, qui doit se prononcer sur la validité de l'opposition, lorsqu'elle est litigieuse, notamment en raison de son éventuel caractère tardif (ibid.). Si l'opposition n'est pas valable, notamment pour le motif précité, le tribunal de première instance n'entre pas en matière sur l'opposition. Le contrôle imposé au tribunal de première instance par l' art. 356 al. 2 CPP doit intervenir à titre préjudiciel et d'office dans le cadre des art. 329 al. 1 let. b, respectivement 339 al. 2 let. b CPP, la validité de l'opposition constituant une condition du procès (arrêts 6B_218/2020 du 17 avril 2020 consid. 1.1; 6B_1067/2018 du 23 novembre 2018 consid. 1.2; 6B_271/2018 du 20 juin 2018 consid. 2.1 et les références citées). D'après l' art. 356 al. 6 CPP , si l'opposition ne porte que sur les frais et les indemnités ou d'autres conséquences accessoires, le tribunal statue par écrit, à moins que l'opposant ne demande expressément des débats. Cette faculté s'impose pour respecter la garantie de l'accès au juge (cf. supra) y compris dans ce contexte, étant de surcroît relevé qu'il incombe à l'autorité, eu égard au droit au procès équitable et au droit d'être entendu ( art. 6 ch. 1 CEDH , 29 al. 2 Cst. et 3 al. 2 let. c CPP), d'en informer de manière appropriée les personnes susceptibles de requérir la tenue de débats (SCHMID/JOSITSCH, op. cit., n° 9 s. ad art. 356 CPP ).</w:t>
      </w:r>
    </w:p>
    <w:p>
      <w:r>
        <w:rPr>
          <w:b/>
        </w:rPr>
        <w:t>E. 2.1.3</w:t>
      </w:r>
    </w:p>
    <w:p>
      <w:r>
        <w:t>Selon l' art. 85 al. 1 CPP , sauf disposition contraire du CPP, les communications des autorités pénales sont notifiées en la forme écrite. Toute communication doit être notifiée au domicile, au lieu de résidence habituelle ou au siège du destinataire (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 art. 87 al. 2 CPP ); si les parties sont pourvues d'un conseil juridique, les communications sont valablement notifiées à celui-ci ( art. 87 al. 3 CPP ).</w:t>
      </w:r>
    </w:p>
    <w:p>
      <w:r>
        <w:t>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 cf. encore récemment: arrêt 6B_1212/2020 du 9 février 2021 consid. 1.1).</w:t>
      </w:r>
    </w:p>
    <w:p>
      <w:r>
        <w:rPr>
          <w:b/>
        </w:rPr>
        <w:t>E. 2.2</w:t>
      </w:r>
    </w:p>
    <w:p>
      <w:r>
        <w:t>En l'espèce, il ressort de l'arrêt attaqué que le recourant alléguait devant les juges précédents ne pas avoir su que son dossier serait traité par le Tribunal de police le 25 mai 2020. La cour cantonale a toutefois considéré que le recourant alléguait en vain ce qui précède, au motif que le Tribunal de police l'avait interpellé sur la question de la recevabilité de son opposition et l'avait informé qu'il serait statué par écrit si une audience n'était pas expressément demandée, avant d'ajouter que tel n'avait pas été le cas dans le délai imparti à cet effet.</w:t>
      </w:r>
    </w:p>
    <w:p>
      <w:r>
        <w:t>Le recourant ne prétend pas que des débats oraux auraient dû être ordonnés d'office devant le Tribunal de police. Sachant que ce dernier a été saisi par ordonnance sur opposition tardive du ministère public pour qu'il statue sur la recevabilité de l'opposition ( art. 356 al. 2 CPP ), ce point souffre de rester indécis. Quoi qu'il en soit, le recourant se plaint de ce que la cour cantonale sous-entend qu'il aurait reçu le courrier du 11 mars 2020 du Tribunal de police, alors qu'il prétend le contraire. Or, force est relever que l'arrêt attaqué ne comporte aucune constatation relative à la notification au recourant dudit courrier. Il n'est nullement établi que ce dernier a été dûment notifié au recourant. On ne saurait déduire le contraire du courrier ultérieurement adressé par le recourant au Tribunal de police en date du 4 juin 2020, ni de celui, traité comme un recours, adressé à la cour cantonale en date du 8 juin 2020. Il n'appartient pas au Tribunal fédéral de clarifier lui-même la situation sur la base des pièces spontanément produites par les autorités cantonales alors que la cause était déjà pendante devant lui, étant au demeurant relevé que ces dernières paraissent receler des éléments peu clairs voire contradictoires en ce qui concerne la question litigieuse. En tout état, la cour cantonale ne pouvait se limiter à relever que le recourant ne s'était pas déterminé dans le délai qui lui avait été imparti par le Tribunal de police, avant d'aboutir à la conclusion qu'il se plaignait en vain de ne pas avoir su que son dossier était traité par la dite autorité. Sur le vu des éléments qui ressortent de l'arrêt attaqué, la cour cantonale aurait dû admettre que le recourant n'avait pas eu la faculté d'obtenir une audience devant le Tribunal de police, ni même de se déterminer avant que celui-ci rende son ordonnance du 25 mai 2020. Elle aurait donc dû considérer que son droit d'être entendu avait été violé, quelle que puisse en être la portée sur le fond de la cause. Le grief du recourant s'avère en définitive fondé sur ce point.</w:t>
      </w:r>
    </w:p>
    <w:p>
      <w:r>
        <w:rPr>
          <w:b/>
        </w:rPr>
        <w:t>E. 3</w:t>
      </w:r>
    </w:p>
    <w:p>
      <w:r>
        <w:t>Au vu de ce qui précède, le recours doit être admis, l'arrêt attaqué annulé et la cause renvoyée à l'autorité précédente pour nouvelle décision. Au regard de la nature procédurale du vice examiné, il peut être procédé au renvoi sans ordonner préalablement un échange d'écritures (cf. ATF 133 IV 293 consid. 3.4.2 p. 296; plus récemment: arrêt 6B_1212/2020 précité consid. 2). Cela étant, les pièces produites par le ministère public et la cour cantonale (cf. supra G) seront retournées à cette dernière, à qui il appartiendra, si besoin est, de compléter ou de faire compléter l'instruction. Il lui appartiendra de surcroît de s'assurer que les pièces en question soient dûment portées à la connaissance du recourant et de veiller à garantir son droit d'être entendu.</w:t>
      </w:r>
    </w:p>
    <w:p>
      <w:r>
        <w:t>Le recourant obtient gain de cause. Il ne supporte pas de frais ( art. 66 al. 1 LTF ). Le recourant n'est pas assisté.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