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6B_883/2019 vom 26. September 2019</w:t>
      </w:r>
    </w:p>
    <w:p>
      <w:r>
        <w:t>Bundesgericht, 2019-09-26, FR</w:t>
      </w:r>
    </w:p>
    <w:p>
      <w:r>
        <w:rPr>
          <w:b/>
        </w:rPr>
        <w:t xml:space="preserve">Quelle: </w:t>
      </w:r>
      <w:r>
        <w:t>https://mcp.opencaselaw.ch/entscheid/bger_6B_883_2019</w:t>
      </w:r>
    </w:p>
    <w:p>
      <w:r>
        <w:t>FR: TF 6B_883/2019 du 26 septembre 2019</w:t>
      </w:r>
    </w:p>
    <w:p>
      <w:r>
        <w:t>IT: TF 6B_883/2019 del 26 settembre 2019</w:t>
      </w:r>
    </w:p>
    <w:p>
      <w:pPr>
        <w:pStyle w:val="Heading2"/>
      </w:pPr>
      <w:r>
        <w:t>Erwägungen</w:t>
      </w:r>
    </w:p>
    <w:p>
      <w:r>
        <w:rPr>
          <w:b/>
        </w:rPr>
        <w:t>E. 1</w:t>
      </w:r>
    </w:p>
    <w:p>
      <w:r>
        <w:t>Par arrêt du 2 juillet 2019, la Chambre des recours pénale du Tribunal cantonal vaudois a rejeté, dans la mesure de sa recevabilité, le recours formé par X.________ à l'encontre de l'ordonnance du Juge d'application des peines du 20 juin 2019, qui lui désignait Me A.________ en qualité de défenseur d'office.</w:t>
      </w:r>
    </w:p>
    <w:p>
      <w:r>
        <w:t>X.________ forme un recours en matière pénale au Tribunal fédéral à l'encontre de l'arrêt précité.</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(sur cette notion voir ATF 141 I 49 consid. 3.4 p. 53 et les références citées; ATF 140 I 201 consid. 6.1 p. 205).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En l'espèce, le recourant développe une argumentation purement appellatoire, partant irrecevable, par laquelle il évoque de nombreux éléments de fait concernant de prétendues carences de l'avocat d'office qui lui a été désigné qui ne ressortent nullement de la décision entreprise. Ce faisant, il ne démontre pas en quoi les juges précédents auraient établi les faits de façon arbitraire, en particulier en ce qu'ils ont retenu que l'on ne discernait aucun élément devant conduire à craindre que la défense du recourant ne soit pas suffisamment efficace en étant assurée par le conseil qui lui a été désigné. De surcroît, c'est en vain que l'on recherche dans l'écriture du recourant une critique topique de l'arrêt attaqué, permettant de saisir sur quel point précis et en quoi il considère que la cour cantonale aurait violé le droit. Son recours est au demeurant dépourvu de conclusions.</w:t>
      </w:r>
    </w:p>
    <w:p>
      <w:r>
        <w:rPr>
          <w:b/>
        </w:rPr>
        <w:t>E. 3</w:t>
      </w:r>
    </w:p>
    <w:p>
      <w:r>
        <w:t>Il s'ensuit que le recours doit être déclaré irrecevable en application de l' art. 108 al. 1 let. a et b LTF . Le recourant, qui succombe, supporte les frais de la procédure. Ceux-ci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