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882/2016 vom 19. Juni 2017</w:t>
      </w:r>
    </w:p>
    <w:p>
      <w:r>
        <w:t>Bundesgericht, 2017-06-19, DE</w:t>
      </w:r>
    </w:p>
    <w:p>
      <w:r>
        <w:rPr>
          <w:b/>
        </w:rPr>
        <w:t xml:space="preserve">Quelle: </w:t>
      </w:r>
      <w:r>
        <w:t>https://mcp.opencaselaw.ch/entscheid/bger_6B_882_2016</w:t>
      </w:r>
    </w:p>
    <w:p>
      <w:r>
        <w:t>FR: TF 6B 882/2016 du 19 juin 2017</w:t>
      </w:r>
    </w:p>
    <w:p>
      <w:r>
        <w:t>IT: TF 6B 882/2016 del 19 giugno 2017</w:t>
      </w:r>
    </w:p>
    <w:p>
      <w:pPr>
        <w:pStyle w:val="Heading2"/>
      </w:pPr>
      <w:r>
        <w:t>Regeste</w:t>
      </w:r>
    </w:p>
    <w:p>
      <w:r>
        <w:t>Kosten des Strafbefehls | Strafrecht (allgemein)</w:t>
      </w:r>
    </w:p>
    <w:p>
      <w:pPr>
        <w:pStyle w:val="Heading2"/>
      </w:pPr>
      <w:r>
        <w:t>Erwägungen</w:t>
      </w:r>
    </w:p>
    <w:p>
      <w:r>
        <w:rPr>
          <w:b/>
        </w:rPr>
        <w:t>E. 1</w:t>
      </w:r>
    </w:p>
    <w:p>
      <w:r>
        <w:t>Da in Strafsachen alle letztinstanzlichen kantonalen Entscheide ( Art. 80 Abs. 1 BGG ) mit der ordentlichen Beschwerde angefochten werden können, verbleibt für die subsidiäre Verfassungsbeschwerde ( Art. 113 BGG ) kein Anwendungsbereich mehr (Urteil 6B_823/2014 vom 23. Januar 2015 E. 1).</w:t>
      </w:r>
    </w:p>
    <w:p>
      <w:r>
        <w:rPr>
          <w:b/>
        </w:rPr>
        <w:t>E. 2.1</w:t>
      </w:r>
    </w:p>
    <w:p>
      <w:r>
        <w:t>Gemäss Art. 422 Abs. 1 StPO setzen sich die Verfahrenskosten zusammen aus den Gebühren zur Deckung des Aufwands und den Auslagen im konkreten Straffall. Die Berechnung der Verfahrenskosten und die Festlegung der Gebühren obliegt nach Art. 424 Abs. 1 StPO Bund und Kantonen. Massgebend ist im vorliegenden Fall der Gebührentarif des Kantons Solothurn, der in § 164 lit. a für den Erlass eines Strafbefehls eine Gebühr von Fr. 50.-- bis Fr. 15'000.-- vorsieht.</w:t>
      </w:r>
    </w:p>
    <w:p>
      <w:r>
        <w:rPr>
          <w:b/>
        </w:rPr>
        <w:t>E. 2.2</w:t>
      </w:r>
    </w:p>
    <w:p>
      <w:r>
        <w:t>Ausserhalb des Anwendungsbereichs von Art. 95 lit. c bis e BGG bildet die Verletzung kantonaler Bestimmungen nur dann einen zulässigen Beschwerdegrund, wenn eine derartige Rechtsverletzung einen Verstoss gegen Bundesrecht im Sinne von Art. 95 lit. a BGG oder gegen Völkerrecht im Sinne von Art. 95 lit. b BGG zur Folge hat ( BGE 133 II 249 E. 1.2.1).</w:t>
      </w:r>
    </w:p>
    <w:p>
      <w:r>
        <w:rPr>
          <w:b/>
        </w:rPr>
        <w:t>E. 2.3</w:t>
      </w:r>
    </w:p>
    <w:p>
      <w:r>
        <w:t>Die Vorinstanz legt einlässlich dar, dass die Festsetzung einer Gebühr von Fr. 100.-- für den Erlass eines Strafbefehls nicht nur mit den massgebenden gesetzlichen Bestimmungen übereinstimmt, sondern auch den Anforderungen an das Kostendeckungs- und Äquivalenzprinzip genügt. Es kann darauf ohne weiteres verwiesen werden ( Art. 109 Abs. 3 BGG ). Der Beschwerdeführer begründet nicht (Art. 42 Abs. 2 i.V.m. Art. 106 Abs. 2 BGG ), inwiefern das Kostendeckungs- oder Äquivalenzprinzip verletzt sein sollte (vgl. dazu BGE 141 I 105 E. 3.3.1 und E. 3.3.2). Er begnügt sich damit, auf das angebliche Missverhältnis zwischen der ausgefällten Busse (Fr. 50.--) und den Verfahrenskosten (Fr. 100.--) sowie auf den aus seiner Sicht mit dem Erlass eines Strafbefehls in aller Regel verbundenen geringen Aufwand hinzuweisen. Dies reicht indessen nicht aus, um eine Verletzung verfassungsmässiger Rechte zu begründen. Ebenso unbehelflich sind seine Zitate aus einer parlamentarischen Antwort des Regierungsrates des Kantons Zürich aus dem Jahr 1995, die sich in allgemeiner Weise zu den Gebühren der (damaligen) Statthalterämter des Kanons Zürich äussert (Auszug aus dem Protokoll des Regierungsrates des Kantons Zürich vom 15. November 1995, Ziff. 3367).</w:t>
      </w:r>
    </w:p>
    <w:p>
      <w:r>
        <w:rPr>
          <w:b/>
        </w:rPr>
        <w:t>E. 3</w:t>
      </w:r>
    </w:p>
    <w:p>
      <w:r>
        <w:t>Die Beschwerde ist im vereinfachten Verfahren ( Art. 109 BGG ) abzuweisen, soweit darauf einzutreten ist. Bei diesem Ausgang trägt der unterliegende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