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881/2019 vom 27. September 2019</w:t>
      </w:r>
    </w:p>
    <w:p>
      <w:r>
        <w:t>Bundesgericht, 2019-09-27, DE</w:t>
      </w:r>
    </w:p>
    <w:p>
      <w:r>
        <w:rPr>
          <w:b/>
        </w:rPr>
        <w:t xml:space="preserve">Quelle: </w:t>
      </w:r>
      <w:r>
        <w:t>https://mcp.opencaselaw.ch/entscheid/bger_6B_881_2019</w:t>
      </w:r>
    </w:p>
    <w:p>
      <w:r>
        <w:t>FR: TF 6B 881/2019 du 27 septembre 2019</w:t>
      </w:r>
    </w:p>
    <w:p>
      <w:r>
        <w:t>IT: TF 6B 881/2019 del 27 settembre 2019</w:t>
      </w:r>
    </w:p>
    <w:p>
      <w:pPr>
        <w:pStyle w:val="Heading2"/>
      </w:pPr>
      <w:r>
        <w:t>Regeste</w:t>
      </w:r>
    </w:p>
    <w:p>
      <w:r>
        <w:t>SVG-Widerhandlung; Nichteintreten | Straftaten</w:t>
      </w:r>
    </w:p>
    <w:p>
      <w:pPr>
        <w:pStyle w:val="Heading2"/>
      </w:pPr>
      <w:r>
        <w:t>Erwägungen</w:t>
      </w:r>
    </w:p>
    <w:p>
      <w:r>
        <w:rPr>
          <w:b/>
        </w:rPr>
        <w:t>E. 1</w:t>
      </w:r>
    </w:p>
    <w:p>
      <w:r>
        <w:t>Das Bezirksgericht Luzern sprach den Beschwerdeführer mit Urteil vom 19. Januar 2018 der einfachen Verkehrsregelverletzung durch Nichtgewähren des Vortritts mit einem Personenwagen gegenüber einem Polizeifahrzeug mit eingeschaltetem Blaulicht und Wechselklanghorn (Art. 27 Abs. 2 i.V.m. Art. 90 Abs. 1 SVG ), begangen am 4. Dezember 2017 in Luzern, schuldig und bestrafte ihn mit einer Busse von Fr. 300.--. Das Kantonsgericht Luzern bestätigte am 15. Juli 2019 auf Berufung des Beschwerdeführers das erstinstanzliche Urteil. Dagegen gelangt der Beschwerdeführer mit Beschwerde an das Bundesgericht.</w:t>
      </w:r>
    </w:p>
    <w:p>
      <w:r>
        <w:rPr>
          <w:b/>
        </w:rPr>
        <w:t>E. 2</w:t>
      </w:r>
    </w:p>
    <w:p>
      <w:r>
        <w:t>Der Beschwerdeführer beantragt eine "Verhandlung, an der alle anwesend sind". Eine mündliche Parteiverhandlung im Sinne von Art. 57 BGG wird nur ausnahmsweise angeordnet. Vorliegend besteht dafür kein Anlass.</w:t>
      </w:r>
    </w:p>
    <w:p>
      <w:r>
        <w:rPr>
          <w:b/>
        </w:rPr>
        <w:t>E. 3</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explizit vorgebracht und substanziiert begründet werden ( Art. 106 Abs. 2 BGG ; BGE 143 IV 500 E. 1.1 S. 503). Auf ungenügend begründete Rügen oder bloss allgemein gehaltene appellatorische Kritik am angefochtenen Entscheid tritt das Bundesgericht nicht ein (vgl. Art. 42 Abs. 2 und Art. 106 Abs. 2 BGG ; BGE 145 I 26 E. 1.3 S. 30; 145 IV 154 E. 1.1 S. 156; 143 IV 347 E. 4.4 S. 354 f.; je mit Hinweisen).</w:t>
      </w:r>
    </w:p>
    <w:p>
      <w:r>
        <w:rPr>
          <w:b/>
        </w:rPr>
        <w:t>E. 4</w:t>
      </w:r>
    </w:p>
    <w:p>
      <w:r>
        <w:t>Der Beschwerdeführer wendet sich gegen die vorinstanzliche Sachverhaltsfeststellung. Dass diese geradezu willkürlich sein soll, macht er jedoch weder geltend noch begründet er dies. Der Beschwerdeführer kritisiert, die Vorinstanz habe zu Unrecht nicht auf seine Aussagen abgestellt. Damit lässt sich Willkür von vornherein nicht begründen, da sich der Beschwerdeführer mit der vorinstanzlichen Beweiswürdigung nicht ansatzweise auseinandersetzt. Die Beschwerde genügt den gesetzlichen Begründungsanforderungen offensichtlich nicht, weshalb darauf im Verfahren nach Art. 108 BGG nicht einzutreten ist.</w:t>
      </w:r>
    </w:p>
    <w:p>
      <w:r>
        <w:rPr>
          <w:b/>
        </w:rPr>
        <w:t>E. 5</w:t>
      </w:r>
    </w:p>
    <w:p>
      <w:r>
        <w:t>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