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880/2019 vom 17. September 2019</w:t>
      </w:r>
    </w:p>
    <w:p>
      <w:r>
        <w:t>Bundesgericht, 2019-09-17, FR</w:t>
      </w:r>
    </w:p>
    <w:p>
      <w:r>
        <w:rPr>
          <w:b/>
        </w:rPr>
        <w:t xml:space="preserve">Quelle: </w:t>
      </w:r>
      <w:r>
        <w:t>https://mcp.opencaselaw.ch/entscheid/bger_6B_880_2019</w:t>
      </w:r>
    </w:p>
    <w:p>
      <w:r>
        <w:t>FR: TF 6B 880/2019 du 17 septembre 2019</w:t>
      </w:r>
    </w:p>
    <w:p>
      <w:r>
        <w:t>IT: TF 6B 880/2019 del 17 settembre 2019</w:t>
      </w:r>
    </w:p>
    <w:p>
      <w:pPr>
        <w:pStyle w:val="Heading2"/>
      </w:pPr>
      <w:r>
        <w:t>Regeste</w:t>
      </w:r>
    </w:p>
    <w:p>
      <w:r>
        <w:t>Ordonnance de non-entrée en matière (escroquerie) | Procédure pénale</w:t>
      </w:r>
    </w:p>
    <w:p>
      <w:pPr>
        <w:pStyle w:val="Heading2"/>
      </w:pPr>
      <w:r>
        <w:t>Erwägungen</w:t>
      </w:r>
    </w:p>
    <w:p>
      <w:r>
        <w:rPr>
          <w:b/>
        </w:rPr>
        <w:t>E. 1</w:t>
      </w:r>
    </w:p>
    <w:p>
      <w:r>
        <w:t>Le Tribunal fédéral examine d'office et librement la recevabilité des recours qui lui sont soumis ( ATF 142 IV 196 consid. 1 p. 197).</w:t>
      </w:r>
    </w:p>
    <w:p>
      <w:r>
        <w:rPr>
          <w:b/>
        </w:rPr>
        <w:t>E. 1.1</w:t>
      </w:r>
    </w:p>
    <w:p>
      <w:r>
        <w:t>La décision attaquée a été rendue en matière pénale au sens de l' art. 78 LTF . Confirmant l'ordonnance de non-entrée en matière rendue par le ministère public, elle a un caractère final ( art. 90 LTF ) et émane de l'autorité cantonale de dernière instance ( art. 80 LTF ). Le recourant a en outre agi en temps utile (art. 48 al. 1 et 100 al. 1 LTF).</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celle-ci aurait déjà déclaré de telles prétentions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et les arrêts cités). En l'espèce, le recourant se prétend victime d'escroquerie de la part de son épouse. Celle-ci aurait ainsi obtenu de la part du recourant la signature d'une donation immobilière devant notaire ainsi que la signature d'un contrat de mariage modifiant le régime matrimonial des parties. Ces éléments sont suffisants pour percevoir les prétentions civiles en jeu et permettent de lui reconnaître, au stade de l'examen de la recevabilité du recours en matière pénale, la qualité pour recourir.</w:t>
      </w:r>
    </w:p>
    <w:p>
      <w:r>
        <w:rPr>
          <w:b/>
        </w:rPr>
        <w:t>E. 2</w:t>
      </w:r>
    </w:p>
    <w:p>
      <w:r>
        <w:t>Le recourant conteste que les conditions d'une non-entrée en matière au sens de l' art. 310 al. 1 let. a CPP soient réunies en l'espèce.</w:t>
      </w:r>
    </w:p>
    <w:p>
      <w:r>
        <w:rPr>
          <w:b/>
        </w:rPr>
        <w:t>E. 2.1</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 in dubio pro duriore " (arrêt 6B_127/2013 du 3 septembre 2013 consid. 4.1). Celui-ci découle du principe de la légalité ( art. 5 al. 1 Cst. et 2 al. 2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 arrêt 6B_635/2018 du 24 octobre 2018).</w:t>
      </w:r>
    </w:p>
    <w:p>
      <w:r>
        <w:rPr>
          <w:b/>
        </w:rPr>
        <w:t>E. 2.2</w:t>
      </w:r>
    </w:p>
    <w:p>
      <w:r>
        <w:t>Le recourant s'en prend au refus d'entrer en matière sur les faits qui relèvent, selon lui, de l'escroquerie.</w:t>
      </w:r>
    </w:p>
    <w:p>
      <w:r>
        <w:rPr>
          <w:b/>
        </w:rPr>
        <w:t>E. 2.2.1</w:t>
      </w:r>
    </w:p>
    <w:p>
      <w:r>
        <w:t>Se rend coupable d'escroquerie au sens de l' art. 146 CP ,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2.2.2</w:t>
      </w:r>
    </w:p>
    <w:p>
      <w:r>
        <w:t>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79 ss).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p. 155; 135 IV 76 consid. 5.2 p. 81). Le recourant soutient que les conditions relatives au prononcé d'une ordonnance de non-entrée n'étaient pas réalisées en l'espèce.</w:t>
      </w:r>
    </w:p>
    <w:p>
      <w:r>
        <w:rPr>
          <w:b/>
        </w:rPr>
        <w:t>E. 2.3</w:t>
      </w:r>
    </w:p>
    <w:p>
      <w:r>
        <w:t>La cour cantonale a considéré que l'astuce, en tant qu'élément constitutif de l'infraction d'escroquerie, n'était manifestement pas réalisée, de sorte que la non-entrée en matière se justifiait sous l'angle de l' art. 310 al. 1 let. a CPP . Le recourant reproche à la cour cantonale d'avoir violé son droit d'être entendu en restant muette dans sa décision sur les vérifications qu'il aurait pu et dû faire. Il soutient par ailleurs qu'il ne pouvait imaginer un instant que son épouse le quitterait dès qu'elle aurait obtenu la modification de son régime matrimonial et la donation d'un cinquième de son immeuble. A cet égard, il souligne que les mensonges de son épouse se sont étalés sur plusieurs années, ce dont la cour cantonale n'a arbitrairement pas tenu compte. Il ressort de l'arrêt attaqué que le recourant soupçonnait son épouse de le tromper depuis novembre 2017 déjà et que des tensions étaient apparues dans le couple en 2015 déjà. Dans ces conditions, la cour cantonale pouvait conclure qu'il n'avait pas fait preuve de la prudence nécessaire, dès lors qu'il devait être sur ses gardes et que la tromperie était aisément reconnaissable par le recourant. Partant, la Chambre des recours pénale a retenu, à juste titre et sans violer le principe " in dubio pro duriore ", que la condition de l'astuce ( art. 146 CP ) n'était pas réalisée en l'espèce ( art. 310 al. 1 let. a CPP ).</w:t>
      </w:r>
    </w:p>
    <w:p>
      <w:r>
        <w:rPr>
          <w:b/>
        </w:rPr>
        <w:t>E. 3</w:t>
      </w:r>
    </w:p>
    <w:p>
      <w:r>
        <w:t>Il s'ensuit que le recours est rejeté. 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