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87/2017 vom 10. Februar 2017</w:t>
      </w:r>
    </w:p>
    <w:p>
      <w:r>
        <w:t>Bundesgericht, 2017-02-10, IT</w:t>
      </w:r>
    </w:p>
    <w:p>
      <w:r>
        <w:rPr>
          <w:b/>
        </w:rPr>
        <w:t xml:space="preserve">Quelle: </w:t>
      </w:r>
      <w:r>
        <w:t>https://mcp.opencaselaw.ch/entscheid/bger_6B_87_2017</w:t>
      </w:r>
    </w:p>
    <w:p>
      <w:r>
        <w:t>FR: TF 6B 87/2017 du 10 février 2017</w:t>
      </w:r>
    </w:p>
    <w:p>
      <w:r>
        <w:t>IT: TF 6B 87/2017 del 10 febbraio 2017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A.A.________,</w:t>
      </w:r>
    </w:p>
    <w:p>
      <w:r>
        <w:rPr>
          <w:b/>
        </w:rPr>
        <w:t>E. 2</w:t>
      </w:r>
    </w:p>
    <w:p>
      <w:r>
        <w:t>B.A.________, ricorrenti, contro Ministero pubblico del Cantone Ticino, Palazzo di giustizia, via Pretorio 16, 6901 Lugano, opponente. Oggetto Decreto di non luogo a procedere, ricorso in materia penale contro la sentenza emanata il 7 dicembre 2016 dalla Corte dei reclami penali del Tribunale d'appello del Cantone Ticino. Considerando: che il 24 settembre 2015 A.A.________ e B.A.________ hanno querelato C.________, D.________, E.________ e F.________ per i reati di violazione di domicilio ( art. 186 CP ) e di violazione della sfera segreta o privata mediante apparecchi di presa d'immagini ( art. 179quater CP ); che la querela era in relazione con un sopralluogo effettuato da F.________ sul fondo part. xxx di X.________, di proprietà dei querelanti, gravato con un diritto di passo veicolare a favore dei fondi confinanti part. yyy e zzz di proprietà di C.________; che, con decisione del 23 giugno 2016, il Procuratore pubblico ha decretato il non luogo a procedere; che, contro il decreto di non luogo a procedere, i querelanti hanno adito la Corte dei reclami penali del Tribunale d'appello (CRP); che, con sentenza del 7 dicembre 2016, la CRP ha respinto il reclamo nella misura della sua ricevibilità; che A.A.________ e B.A.________ impugnano questa sentenza con un ricorso in materia penale al Tribunale federale, chiedendo di annullarla e di rinviare gli atti all'autorità inferiore affinché promuova nei confronti dei querelati l'accusa di violazione di domicilio e di violazione della sfera privata; che non sono state chieste osservazioni sul gravame; che il Tribunale federale esamina d'ufficio se e in che misura un ricorso può essere esaminato nel merito ( DTF 141 IV 298 consid. 1.1 e rinvii); che, secondo l'art. 81 cpv. 1 lett. b n. 5 LTF, l'accusatore privato che ha partecipato alla procedura dinanzi all'istanza precedente è abilitato ad adire il Tribunale federale, se la decisione impugnata può influire sul giudizio delle sue pretese civili; che spetta al ricorrente addurre i fatti a sostegno della sua legittimazione, segnatamente quando, tenendo conto della natura dei reati perseguiti, l'influenza sulla decisione relativa alle pretese civili non sia facilmente deducibile dagli atti (cfr. DTF 141 IV 1 consid. 1.1; 138 IV 86 consid. 3; 133 II 353 consid. 1); che in concreto i ricorrenti si limitano ad addurre in modo generale che l'esito della querela potrebbe influire sulla vertenza di diritto civile che oppone le parti; che, con questo accenno generico, non si esprimono sulla loro legittimazione ricorsuale giusta l'art. 81 cpv. 1 lett. b n. 5 LTF, spiegando quali pretese intendano fare valere contro i querelati e in quale misura la decisione impugnata potrebbe avere un'incidenza sul loro giudizio; ch'essi in particolare non rendono verosimile di essere stati danneggiati dallo svolgimento del sopralluogo incriminato; che, a prescindere dalla loro legittimazione ricorsuale nel merito (cfr. art. 81 cpv. 1 lett. b n. 5 LTF), i ricorrenti sarebbero in ogni caso abilitati a censurare la violazione di garanzie procedurali che il diritto conferisce loro quali parti nella procedura (cfr. DTF 141 IV 1 consid. 1.1 pag. 5); ch'essi non fanno tuttavia valere la violazione di simili garanzie, in particolare non rimproverano alla Corte cantonale di avere disatteso il loro diritto di essere sentiti; che pertanto il ricorso, non motivato in modo sufficiente, può essere deciso sulla base della procedura semplificata dell' art. 108 cpv. 1 lett. b LTF ; che le spese giudiziarie seguono la soccombenza e devono quindi essere accollate ai ricorrenti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