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6B_879/2015 vom 10. September 2015</w:t>
      </w:r>
    </w:p>
    <w:p>
      <w:r>
        <w:t>Bundesgericht, 2015-09-10, DE</w:t>
      </w:r>
    </w:p>
    <w:p>
      <w:r>
        <w:rPr>
          <w:b/>
        </w:rPr>
        <w:t xml:space="preserve">Quelle: </w:t>
      </w:r>
      <w:r>
        <w:t>https://mcp.opencaselaw.ch/entscheid/bger_6B_879_2015</w:t>
      </w:r>
    </w:p>
    <w:p>
      <w:r>
        <w:t>FR: TF 6B_879/2015 du 10 septembre 2015</w:t>
      </w:r>
    </w:p>
    <w:p>
      <w:r>
        <w:t>IT: TF 6B_879/2015 del 10 settembre 2015</w:t>
      </w:r>
    </w:p>
    <w:p>
      <w:pPr>
        <w:pStyle w:val="Heading2"/>
      </w:pPr>
      <w:r>
        <w:t>Erwägungen</w:t>
      </w:r>
    </w:p>
    <w:p>
      <w:r>
        <w:rPr>
          <w:b/>
        </w:rPr>
        <w:t>E. 1</w:t>
      </w:r>
    </w:p>
    <w:p>
      <w:r>
        <w:t>Der Beschwerdeführer wendet sich gegen ein Urteil des Obergerichts UH150143 ans Bundesgericht. Da der Eingabe der angefochtene Entscheid nicht beilag, wurde der Beschwerdeführer mit Verfügung vom 24. August 2015 aufgefordert, den Mangel spätestens bis am 7. September 2015 zu beheben, ansonsten die Rechtsschrift unbeachtet bleibe. Da er der Aufforderung seitens der Strafrechtlichen Abteilung des Bundesgerichts innert Frist nicht nachkam, ist androhungsgemäss auf die Beschwerde im Verfahren nach Art. 108 BGG nicht einzutreten.</w:t>
      </w:r>
    </w:p>
    <w:p>
      <w:r>
        <w:rPr>
          <w:b/>
        </w:rPr>
        <w:t>E. 2</w:t>
      </w:r>
    </w:p>
    <w:p>
      <w:r>
        <w:t>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