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6B_878/2014 vom 21. April 2015</w:t>
      </w:r>
    </w:p>
    <w:p>
      <w:r>
        <w:t>Bundesgericht, 2015-04-21, FR</w:t>
      </w:r>
    </w:p>
    <w:p>
      <w:r>
        <w:rPr>
          <w:b/>
        </w:rPr>
        <w:t xml:space="preserve">Quelle: </w:t>
      </w:r>
      <w:r>
        <w:t>https://mcp.opencaselaw.ch/entscheid/bger_6B_878_2014</w:t>
      </w:r>
    </w:p>
    <w:p>
      <w:r>
        <w:t>FR: TF 6B_878/2014 du 21 avril 2015</w:t>
      </w:r>
    </w:p>
    <w:p>
      <w:r>
        <w:t>IT: TF 6B_878/2014 del 21 aprile 2015</w:t>
      </w:r>
    </w:p>
    <w:p>
      <w:pPr>
        <w:pStyle w:val="Heading2"/>
      </w:pPr>
      <w:r>
        <w:t>Erwägungen</w:t>
      </w:r>
    </w:p>
    <w:p>
      <w:r>
        <w:rPr>
          <w:b/>
        </w:rPr>
        <w:t>E. 1</w:t>
      </w:r>
    </w:p>
    <w:p>
      <w:r>
        <w:t>La condamnation litigieuse a été prononcée sur la base d'une disposition communale. Sauf dans les cas cités expressément à l' art. 95 LTF , la violation du droit cantonal ou communal, y compris du droit fédéral appliqué à titre de droit cantonal ou communal supplétif, ne constitue pas un motif de recours en tant que tel. La partie recourante peut uniquement se plaindre que l'application de ce droit par l'autorité précédente consacre une violation du droit fédéral au sens de l' art. 95 let. a LTF , en particulier qu'elle est arbitraire ( ATF 138 V 67 consid. 2.2 p. 69; sur la notion d'arbitraire, v. ATF 140 III 16 consid. 2.1 p. 18).</w:t>
      </w:r>
    </w:p>
    <w:p>
      <w:r>
        <w:t>Le Tribunal fédéral n'examine la violation des droits fondamentaux que si ce moyen est invoqué et motivé par le recourant ( art. 106 al. 2 LTF ), c'est-à-dire s'il a été expressément soulevé et exposé de manière claire et détaillée ( ATF 139 I 229 consid. 2.2 p. 232).</w:t>
      </w:r>
    </w:p>
    <w:p>
      <w:r>
        <w:rPr>
          <w:b/>
        </w:rPr>
        <w:t>E. 2</w:t>
      </w:r>
    </w:p>
    <w:p>
      <w:r>
        <w:t>A la suite de l'arrêt de renvoi, l'autorité précédente a informé les parties qu'elle entendait s'écarter de l'appréciation juridique portée par le ministère public, sur la base de l' art. 344 CPP , applicable à la répression des contraventions cantonales en vertu de l'art. 10 al. 1 LContr. Le recourant était accusé non plus de violation de l'art. 26 RGP/Lausanne, mais de violation de l'art. 29 RGP/Lausanne, avec la sanction définie à l'art. 25 al. 1 LContr. L'autorité précédente a refusé d'ordonner les mesures d'instruction requises par le recourant, invoquant l' art. 398 al. 4 CPP .</w:t>
      </w:r>
    </w:p>
    <w:p>
      <w:r>
        <w:rPr>
          <w:b/>
        </w:rPr>
        <w:t>E. 2.1</w:t>
      </w:r>
    </w:p>
    <w:p>
      <w:r>
        <w:t>Le recourant se demande si la modification opérée est "compatible avec le CPP". Il estime qu'elle aurait pour conséquence, compte tenu de la teneur de l' art. 398 al. 4 CPP , de le déchoir du droit de présenter de nouvelles allégations ou de nouvelles preuves, en l'occurrence l'audition de la policière, et aboutirait donc à un déni de justice.</w:t>
      </w:r>
    </w:p>
    <w:p>
      <w:r>
        <w:t>Ce faisant, le recourant se limite à formuler des généralités quant à des dispositions du CPP, appliquées à titre de droit cantonal supplétif. Son argumentation ne répond pas aux exigences de motivation posées par l' art. 106 al. 2 LTF . Elle est irrecevable.</w:t>
      </w:r>
    </w:p>
    <w:p>
      <w:r>
        <w:rPr>
          <w:b/>
        </w:rPr>
        <w:t>E. 2.2</w:t>
      </w:r>
    </w:p>
    <w:p>
      <w:r>
        <w:t>Au demeurant, aux termes de l' art. 344 CPP ,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 6B_702/2013 du 26 novembre 2013 consid. 1.1). Elle peut être invoquée par la juridiction d'appel (arrêt 6B_702/2013 du 26 novembre 2013 consid. 1.2), même après un arrêt de renvoi du Tribunal fédéral (arrêt 6B_1025/2014 du 9 février 2015 consid. 1.3 et références citées). En l'occurrence, l'autorité précédente a jugé le recourant sur la base des mêmes faits que ceux retenus dans le jugement du 17 septembre 2013 et a invité les parties à se prononcer sur la modification de leur qualification juridique (jugement attaqué, p. 2-3) avant de rendre la décision entreprise. L'application de l' art. 344 CPP , à titre de droit cantonal supplétif, n'apparaît dès lors pas arbitraire. Le droit d'être entendu du recourant a été respecté. L'arrêt de renvoi n'impliquait pas le droit de faire administrer de nouvelles preuves.</w:t>
      </w:r>
    </w:p>
    <w:p>
      <w:r>
        <w:rPr>
          <w:b/>
        </w:rPr>
        <w:t>E. 3</w:t>
      </w:r>
    </w:p>
    <w:p>
      <w:r>
        <w:t>Le recourant conteste avoir violé l'art. 29 RGP/Lausanne, qui sanctionne en particulier celui qui entrave l'action d'un fonctionnaire, notamment d'un agent de police, respectivement invoque que l'interprétation faite de cette disposition par l'autorité précédente est contraire à la CEDH et plus précisément à l' art. 10 CEDH .</w:t>
      </w:r>
    </w:p>
    <w:p>
      <w:r>
        <w:t>Dès lors que le recourant fonde son argumentation sur des faits qui s'écartent de ceux constatés dans le jugement entrepris, son moyen est irrecevable. Pour le surplus, le recourant n'expose pas en quoi il était insoutenable, au vu des faits retenus par l'autorité précédente (cf. supra let. A ), de considérer que son comportement contrevenait à l'art. 29RGP/Lausanne. Son grief de violation de l' art. 10 CEDH , insuffisamment motivé, est irrecevable.</w:t>
      </w:r>
    </w:p>
    <w:p>
      <w:r>
        <w:rPr>
          <w:b/>
        </w:rPr>
        <w:t>E. 4</w:t>
      </w:r>
    </w:p>
    <w:p>
      <w:r>
        <w:t>Le recourant invoque l' art. 52 CP .</w:t>
      </w:r>
    </w:p>
    <w:p>
      <w:r>
        <w:rPr>
          <w:b/>
        </w:rPr>
        <w:t>E. 4.1</w:t>
      </w:r>
    </w:p>
    <w:p>
      <w:r>
        <w:t>Cette disposition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ATF 138 IV 13 consid. 9 p. 28).</w:t>
      </w:r>
    </w:p>
    <w:p>
      <w:r>
        <w:rPr>
          <w:b/>
        </w:rPr>
        <w:t>E. 4.2</w:t>
      </w:r>
    </w:p>
    <w:p>
      <w:r>
        <w:t>La pièce produite à l'appui de ce grief est irrecevable ( art. 99 al. 1 LTF ). Au demeurant, l'affaire relatée dans cet article de presse - qui ne constitue pas de la jurisprudence (recours, p. 4 ch. 5) -, n'est comparable à la présente cause ni quant au comportement constaté, ni quant à sa qualification juridique.</w:t>
      </w:r>
    </w:p>
    <w:p>
      <w:r>
        <w:rPr>
          <w:b/>
        </w:rPr>
        <w:t>E. 4.3</w:t>
      </w:r>
    </w:p>
    <w:p>
      <w:r>
        <w:t>Le recourant ne dit pas en quoi l' art. 52 CP serait applicable s'agissant d'une cause régie par le droit cantonal, respectivement communal. Quoi qu'il en soit, il résulte du jugement entrepris que lors de son interpellation par la police le recourant s'est montré d'entrée oppositionnel. Il n'a cessé d'élever la voix et de nombreuses sommations ont été nécessaires avant qu'il n'accepte de présenter sa carte d'identité. Au vu des cas typiques tombant sous le coup de l'art. 29 RGP/Lausanne, le comportement du recourant ne remplit pas les conditions posées par l' art. 52 CP . Cette disposition n'est pas applicable ici.</w:t>
      </w:r>
    </w:p>
    <w:p>
      <w:r>
        <w:rPr>
          <w:b/>
        </w:rPr>
        <w:t>E. 5</w:t>
      </w:r>
    </w:p>
    <w:p>
      <w:r>
        <w:t>Le recours doit être rejeté dans la mesure où il est recevable, aux frais du recourant qui succombe ( art. 66 al. 1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