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6B_876/2019 vom 23. September 2019</w:t>
      </w:r>
    </w:p>
    <w:p>
      <w:r>
        <w:t>Bundesgericht, 2019-09-23, DE</w:t>
      </w:r>
    </w:p>
    <w:p>
      <w:r>
        <w:rPr>
          <w:b/>
        </w:rPr>
        <w:t xml:space="preserve">Quelle: </w:t>
      </w:r>
      <w:r>
        <w:t>https://mcp.opencaselaw.ch/entscheid/bger_6B_876_2019</w:t>
      </w:r>
    </w:p>
    <w:p>
      <w:r>
        <w:t>FR: TF 6B_876/2019 du 23 septembre 2019</w:t>
      </w:r>
    </w:p>
    <w:p>
      <w:r>
        <w:t>IT: TF 6B_876/2019 del 23 settembre 2019</w:t>
      </w:r>
    </w:p>
    <w:p>
      <w:pPr>
        <w:pStyle w:val="Heading2"/>
      </w:pPr>
      <w:r>
        <w:t>Erwägungen</w:t>
      </w:r>
    </w:p>
    <w:p>
      <w:r>
        <w:rPr>
          <w:b/>
        </w:rPr>
        <w:t>E. 1</w:t>
      </w:r>
    </w:p>
    <w:p>
      <w:r>
        <w:t>Die Vorinstanz trat mit Verfügung vom 15. Juli 2019 auf die gegen eine Nichtanhandnahmeverfügung der Staatsanwaltschaft Luzern erhobene Beschwerde infolge Nichtleistung der geforderten Prozesssicherheit androhungsgemäss nicht ein.</w:t>
      </w:r>
    </w:p>
    <w:p>
      <w:r>
        <w:t>Der Beschwerdeführer erhebt gegen den vorinstanzlichen Nichteintretensentscheid Beschwerde ans Bundesgericht.</w:t>
      </w:r>
    </w:p>
    <w:p>
      <w:r>
        <w:rPr>
          <w:b/>
        </w:rPr>
        <w:t>E. 2</w:t>
      </w:r>
    </w:p>
    <w:p>
      <w:r>
        <w:t>Gemäss Art. 42 Abs. 2 BGG ist in der Beschwerdebegründung in gedrängter Form darzulegen, inwiefern der angefochtene Akt Recht verletzt. Die Begründung muss sachbezogen sein und sich auf den Streitgegenstand beziehen, d.h. die beschwerdeführende Partei hat mit ihrer Kritik an den als rechtsfehlerhaft erachteten Erwägungen der Vorinstanz anzusetzen ( BGE 140 III 115 E. 2).</w:t>
      </w:r>
    </w:p>
    <w:p>
      <w:r>
        <w:rPr>
          <w:b/>
        </w:rPr>
        <w:t>E. 3</w:t>
      </w:r>
    </w:p>
    <w:p>
      <w:r>
        <w:t>Die Eingabe genügt den gesetzlichen Begründungsanforderungen nicht. Gegenstand des vorliegenden Verfahrens bildet ausschliesslich die Frage, ob die Vorinstanz die Behandlung der Beschwerde von der Bezahlung einer Sicherheitsleistung abhängig machen durfte und ob sie darauf zu Unrecht nicht eintrat. Hiermit setzt sich der Beschwerdeführer nicht (substanziiert) auseinander. Aus seiner Beschwerde ergibt sich nicht, inwiefern der Entscheid der Vorinstanz gegen das Recht im Sinne von Art. 95 BGG verstossen könnte.</w:t>
      </w:r>
    </w:p>
    <w:p>
      <w:r>
        <w:rPr>
          <w:b/>
        </w:rPr>
        <w:t>E. 4</w:t>
      </w:r>
    </w:p>
    <w:p>
      <w:r>
        <w:t>Auf die Beschwerde ist im Verfahren nach Art 108 BGG nicht einzutreten. Das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