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6B_875/2023 vom 31. Juli 2023</w:t>
      </w:r>
    </w:p>
    <w:p>
      <w:r>
        <w:t>Bundesgericht, 2023-07-31, FR</w:t>
      </w:r>
    </w:p>
    <w:p>
      <w:r>
        <w:rPr>
          <w:b/>
        </w:rPr>
        <w:t xml:space="preserve">Quelle: </w:t>
      </w:r>
      <w:r>
        <w:t>https://mcp.opencaselaw.ch/entscheid/bger_6B_875_2023</w:t>
      </w:r>
    </w:p>
    <w:p>
      <w:r>
        <w:t>FR: TF 6B_875/2023 du 31 juillet 2023</w:t>
      </w:r>
    </w:p>
    <w:p>
      <w:r>
        <w:t>IT: TF 6B_875/2023 del 31 luglio 2023</w:t>
      </w:r>
    </w:p>
    <w:p>
      <w:pPr>
        <w:pStyle w:val="Heading2"/>
      </w:pPr>
      <w:r>
        <w:t>Erwägungen</w:t>
      </w:r>
    </w:p>
    <w:p>
      <w:r>
        <w:rPr>
          <w:b/>
        </w:rPr>
        <w:t>E. 1</w:t>
      </w:r>
    </w:p>
    <w:p>
      <w:r>
        <w:t>Par arrêt du 22 mai 2023, la Chambre pénale d'appel et de révision de la Cour de justice de la République et canton de Genève a rejeté l'appel formé par A.________ et partiellement admis l'appel joint formé par le Ministère public genevois contre le jugement du Tribunal correctionnel genevois du 13 octobre 2022. Elle a ainsi acquitté A.________ pour séjour illégal, l'a condamné pour lésions corporelles graves et homicide par négligence, à une peine privative de liberté de 38 mois, sous déduction de 897 jours de détention avant jugement, a ordonné un traitement des troubles mentaux au sens de l' art. 59 CP , a suspendu la peine au profit du traitement institutionnel, a ordonné l'expulsion pénale pour une durée de 10 ans, a dit que l'exécution de la peine et de la mesure prime celle de l'expulsion, a condamné A.________ à payer, à titre d'indemnité pour tort moral, un montant de 30'000 fr. à B.B.________ et de 30'000 fr. à C.B.________, avec intérêts à 5 % l'an dès le 7 décembre 2020 et a statué sur les séquestres, les frais et les indemnités des avocats d'office.</w:t>
      </w:r>
    </w:p>
    <w:p>
      <w:r>
        <w:t>Par courrier daté du 26 juin 2023, posté le 27 juin 2023, A.________ forme un recours au Tribunal fédéral contre l'arrêt précité. Il a complété son recours par lettre datée du 7 juillet, postée le 10 juillet 2023.</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w:t>
      </w:r>
    </w:p>
    <w:p>
      <w:r>
        <w:t>En l'espèce, la décision cantonale a été notifiée au recourant le 30 mai 2023. Le délai de recours de trente jours contre cet arrêt a commencé à courir le 31 mai 2023 et est arrivé à échéance le 29 juin 2023. Adressé le 27 juin 2023, le recours est déposé à temps. Tel n'est en revanche pas le cas de son complément daté du 7 juillet 2023 qui est tardif, sauf en tant qu'il semble requérir la restitution du délai de recours (cf. art. 50 al. 1 LTF et infra consid. 3).</w:t>
      </w:r>
    </w:p>
    <w:p>
      <w:r>
        <w:rPr>
          <w:b/>
        </w:rPr>
        <w:t>E. 3</w:t>
      </w:r>
    </w:p>
    <w:p>
      <w:r>
        <w:t>Le recourant semble requérir une prolongation du délai de recours, voire une restitution du délai.</w:t>
      </w:r>
    </w:p>
    <w:p>
      <w:r>
        <w:t>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L'inobservation des délais de recours ne peut être corrigée que par la voie de la restitution du délai prévue à l' art. 50 al. 1 LTF . Cela suppose que la partie ou son mandataire ait été empêché sans sa faute d'agir. En l'espèce, le recourant soutient que sa détention l'aurait empêché de contacter un avocat à temps pour qu'il forme un recours au Tribunal fédéral dans la mesure où il n'aurait pu fixer un appel téléphonique depuis la prison que le 28 juin 2023, au plus tôt, soit un jour avant la fin du délai de recours. Outre, que le recourant ne démontre aucunement l'élément qu'il allègue, il ne démontre pas plus en quoi il aurait été empêché de contacter l'avocat de son choix par écrit, dès réception de son jugement. Pour autant que la requête du recourant doive être comprise comme une demande de restitution du délai, elle doit être rejetée, celui-ci ne faisant valoir aucun empêchement non fautif propre à justifier une telle restitution.</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t>En l'espèce, le recourant ne formule aucune conclusion. En outre, son écrit ne s'en prend aucunement à la motivation cantonale, si bien que le recourant ne démontre pas en quoi les considérations cantonales violeraient le droit. Il ne présente ainsi aucun grief répondant aux exigences de motivation de l' art. 42 al. 2 LTF .</w:t>
      </w:r>
    </w:p>
    <w:p>
      <w:r>
        <w:rPr>
          <w:b/>
        </w:rPr>
        <w:t>E. 5</w:t>
      </w:r>
    </w:p>
    <w:p>
      <w:r>
        <w:t>Pour autant que l'on doive comprendre de l'acte du recourant qu'il requiert la désignation d'un avocat par le Tribunal fédéral, sa requête doit être rejetée. En effet,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w:t>
      </w:r>
    </w:p>
    <w:p>
      <w:r>
        <w:t>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Au vu de ce qui précède, la requête de restitution du délai de recours doit être rejetée. Pour le surplus, faute de satisfaire aux conditions de recevabilité d'un recours en matière pénale au Tribunal fédéral ( art. 42 al. 1 et 2 LTF ), le recours est irrecevable.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