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6B_874/2020 vom 2. September 2020</w:t>
      </w:r>
    </w:p>
    <w:p>
      <w:r>
        <w:t>Bundesgericht, 2020-09-02, FR</w:t>
      </w:r>
    </w:p>
    <w:p>
      <w:r>
        <w:rPr>
          <w:b/>
        </w:rPr>
        <w:t xml:space="preserve">Quelle: </w:t>
      </w:r>
      <w:r>
        <w:t>https://mcp.opencaselaw.ch/entscheid/bger_6B_874_2020</w:t>
      </w:r>
    </w:p>
    <w:p>
      <w:r>
        <w:t>FR: TF 6B_874/2020 du 2 septembre 2020</w:t>
      </w:r>
    </w:p>
    <w:p>
      <w:r>
        <w:t>IT: TF 6B_874/2020 del 2 settembre 2020</w:t>
      </w:r>
    </w:p>
    <w:p>
      <w:pPr>
        <w:pStyle w:val="Heading2"/>
      </w:pPr>
      <w:r>
        <w:t>Erwägungen</w:t>
      </w:r>
    </w:p>
    <w:p>
      <w:r>
        <w:rPr>
          <w:b/>
        </w:rPr>
        <w:t>E. 1</w:t>
      </w:r>
    </w:p>
    <w:p>
      <w:r>
        <w:t>Par ordonnance du 17 avril 2020, le Ministère public de l'arrondissement de l'Est vaudois a classé la procédure ouverte contre B.________ pour fraude dans la saisie.</w:t>
      </w:r>
    </w:p>
    <w:p>
      <w:r>
        <w:t>Par courrier du 27 avril 2020, A.________ a demandé à la Chambre des recours pénale du Tribunal cantonal du canton de Vaud qu'un délai supplémentaire lui soit octroyé en vue de la formation d'un éventuel recours contre cette ordonnance.</w:t>
      </w:r>
    </w:p>
    <w:p>
      <w:r>
        <w:t>Par avis du 12 mai 2020, le Président de la Chambre des recours pé nale du Tribunal cantonal vaudois a imparti à A.________ un délai au 29 mai suivant pour confirmer par écrit son intention de former un recours ainsi que, cas échéant, pour procéder à un versement de 550fr. à titre de sûretés.</w:t>
      </w:r>
    </w:p>
    <w:p>
      <w:r>
        <w:t>La prénommée n'ayant pas confirmé sa volonté de recourir ni versé les sûretés requises dans le délai qui lui avait été imparti, la Chambre des recours pénale du Tribunal cantonal vaudois a, par arrêt du 22 juin 2020, déclaré irrecevable le recours formé par celle-ci contre l'ordonnance de classement du 17 avril 2020, en laissant les frais de procédure à la charge de l'Etat.</w:t>
      </w:r>
    </w:p>
    <w:p>
      <w:r>
        <w:t>A.________ forme un recours en matière pénale au Tribunal fédéral contre l'arrêt du 22 juin 2020, en concluant en substance à son annulation et au renvoi de la cause à l'autorité précédente pour nouvelle décision.</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l'occurrence, la recourante présente une argumentation irrecevable, intégralement fondée sur des éléments qui ne ressortent pas de l'arrêt attaqué et dont elle ne prétend ni ne démontre qu'ils auraient été arbitrairement omis. Il en va ainsi lorsque l'intéressée explique les raisons pour lesquelles elle aurait tardé à déposer son recours ou à verser les sûretés requises. La recourante n'explique pas, pour le reste, en quoi l'autorité précédente aurait pu violer le droit en constatant qu'elle n'avait pas demandé une prolongation ou une restitution du délai pour recourir et verser les sûretés, mais se borne à évoquer une "erreur de forme qui aurait pu et dû être corrigée d'office".</w:t>
      </w:r>
    </w:p>
    <w:p>
      <w:r>
        <w:t>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