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6B_873/2013 vom 12. Dezember 2013</w:t>
      </w:r>
    </w:p>
    <w:p>
      <w:r>
        <w:t>Bundesgericht, 2013-12-12, FR</w:t>
      </w:r>
    </w:p>
    <w:p>
      <w:r>
        <w:rPr>
          <w:b/>
        </w:rPr>
        <w:t xml:space="preserve">Quelle: </w:t>
      </w:r>
      <w:r>
        <w:t>https://mcp.opencaselaw.ch/entscheid/bger_6B_873_2013</w:t>
      </w:r>
    </w:p>
    <w:p>
      <w:r>
        <w:t>FR: TF 6B_873/2013 du 12 décembre 2013</w:t>
      </w:r>
    </w:p>
    <w:p>
      <w:r>
        <w:t>IT: TF 6B_873/2013 del 12 dicembre 2013</w:t>
      </w:r>
    </w:p>
    <w:p>
      <w:pPr>
        <w:pStyle w:val="Heading2"/>
      </w:pPr>
      <w:r>
        <w:t>Erwägungen</w:t>
      </w:r>
    </w:p>
    <w:p>
      <w:r>
        <w:rPr>
          <w:b/>
        </w:rPr>
        <w:t>E. 1.1</w:t>
      </w:r>
    </w:p>
    <w:p>
      <w:r>
        <w:t>Le Tribunal fédéral examine librement et d'office toutes les conditions de recevabilité des recours qui lui sont soumis ( ATF 136 II 470 consid. 1 p. 472).</w:t>
      </w:r>
    </w:p>
    <w:p>
      <w:r>
        <w:t>De jurisprudence constante, la protection de la personnalité peut être invoquée tant par une personne physique que par une personne morale, dans la mesure où elle ne touche pas à des caractéristiques qui, en raison de leur nature, appartiennent seulement aux personnes physiques. Au nombre des droits de la personnalité dont peuvent se prévaloir les personnes juridiques figure notamment le sentiment de l'honneur ( ATF 138 III 337 consid. 6.1 p. 341 et les arrêts cités). Partant, X.________ en sa qualité d'association au sens de l' art. 60 CC est titulaire du droit à l'honneur.</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non seulement des prétentions en réparation du dommage et du tort moral au sens des art. 41 ss CO , mais aussi celles qui visent toute satisfaction ou protection offerte par le droit privé ( ATF 127 IV 185 consid. 1a p. 187). Les mêmes exigences sont requises à l'égard de celui qui se plaint d'infractions attentatoires à l'honneur, la jurisprudence rendue avant l'entrée en vigueur de la LTF (cf. ATF 121 IV 76 ) qui dispensait celui qui était lésé par une prétendue atteinte à l'honneur de faire valoir des prétentions civiles, n'a plus cours (arrêt 6B_94/2013 du 3 octobre 2013 consid. 1.1).</w:t>
      </w:r>
    </w:p>
    <w:p>
      <w:r>
        <w:t>La notion d'influence du jugement pénal sur les prétentions civiles est conçue strictement. La victime ne peut pas s'opposer à une décision parce qu'elle ne facilite pas son action sur le plan civil. Il faut que la décision attaquée ait pour conséquence que la victime rencontrera plus de difficultés à faire valoir ses prétentions civiles ( ATF 127 IV 185 consid. 1a p. 188; 120 IV 38 consid. 2c p. 41; 119 IV 339 consid. 1d/cc p. 344).</w:t>
      </w:r>
    </w:p>
    <w:p>
      <w:r>
        <w:t>Sous peine d'irrecevabilité du recours,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il n'est pas nécessaire que la partie plaignante ait déjà pris des conclusions civiles ( ATF 137 IV 246 consid. 1.3.1 p. 248). En revanche, elle doit expliquer dans son mémoire quelles sont ces prétentions et en quoi la décision attaquée pourrait influencer négativement leur jugement, à moins que, compte tenu notamment de la nature de l'infraction alléguée, l'on puisse le déduire directement et sans ambiguïté ( ATF 138 IV 186 consid. 1.4.1 p. 189; 137 IV 219 consid. 2.4 p. 222 s. et les arrêts cités).</w:t>
      </w:r>
    </w:p>
    <w:p>
      <w:r>
        <w:rPr>
          <w:b/>
        </w:rPr>
        <w:t>E. 1.3</w:t>
      </w:r>
    </w:p>
    <w:p>
      <w:r>
        <w:t>En l'espèce, la recourante prétend au versement d'une somme de 2'000 francs au titre de l'indemnisation de l'atteinte à sa personnalité au sens des art. 28 ss CC , laquelle indemnisation comprendra le remboursement du prix de publication dans le journal "A.________" de deux annonces liées à sa campagne politique dans le cadre de la votation du 14 octobre 2012 sur la nouvelle Constitution genevoise. La prétention relative au remboursement des annonces ne constitue pas une prétention civile au sens de l' art. 81 al. 1 ch. 5 LTF car elle ne découle pas directement de la commission même des infractions alléguées ( ATF 127 IV 185 consid. 1a p. 188 et les arrêts cités). Par ailleurs, la recourante n'expose pas plus avant en quoi résiderait son dommage ou le préjudice moral subi, pas plus que son importance. Il est rappelé à cet égard que n'importe quelle atteinte légère à la réputation professionnelle, économique ou sociale d'une personne ne justifie pas une réparation ( ATF 130 III 699 consid. 5.1 p. 704; 125 III 70 consid. 3a p. 75). Cette exigence est encore accrue lorsqu'il s'agit d'une personne morale (Roland Brehm, Berner Kommentar, 3ème éd. 2006 n°42/43 ad art. 49 pour qui l'indemnité satisfactoire doit être soumise à des critères plus stricts que si la victime est une personne physique; voir dans ce sens ATF 138 III 337 consid. 6.3.5, 6.3.6 p. 346-347). En tout état, l'allocation d'une indemnité pour tort moral fondée sur l' art. 49 al. 1 CO suppose en effet que l'atteinte ait une certaine gravité objective et qu'elle ait été ressentie par la victime, subjectivement, comme une souffrance morale suffisamment forte pour qu'il apparaisse légitime qu'une personne, dans ces circonstances, s'adresse au juge pour obtenir réparation (cf. ATF 131 III 26 consid. 12.1 p. 29; arrêt 1B_648/2012 du 11 juillet 2013 consid. 1.2). L'absence de toute explication, dans la configuration d'espèce, suffit pour exclure sa qualité pour recourir sur le fond de la cause.</w:t>
      </w:r>
    </w:p>
    <w:p>
      <w:r>
        <w:rPr>
          <w:b/>
        </w:rPr>
        <w:t>E. 1.4</w:t>
      </w:r>
    </w:p>
    <w:p>
      <w:r>
        <w:t>Il s'ensuit que le recours doit être déclaré irrecevable, faute de qualité pour recourir. La recourante succombe. Elle supporte les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