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872/2019 vom 17. September 2019</w:t>
      </w:r>
    </w:p>
    <w:p>
      <w:r>
        <w:t>Bundesgericht, 2019-09-17, DE</w:t>
      </w:r>
    </w:p>
    <w:p>
      <w:r>
        <w:rPr>
          <w:b/>
        </w:rPr>
        <w:t xml:space="preserve">Quelle: </w:t>
      </w:r>
      <w:r>
        <w:t>https://mcp.opencaselaw.ch/entscheid/bger_6B_872_2019</w:t>
      </w:r>
    </w:p>
    <w:p>
      <w:r>
        <w:t>FR: TF 6B 872/2019 du 17 septembre 2019</w:t>
      </w:r>
    </w:p>
    <w:p>
      <w:r>
        <w:t>IT: TF 6B 872/2019 del 17 settembre 2019</w:t>
      </w:r>
    </w:p>
    <w:p>
      <w:pPr>
        <w:pStyle w:val="Heading2"/>
      </w:pPr>
      <w:r>
        <w:t>Regeste</w:t>
      </w:r>
    </w:p>
    <w:p>
      <w:r>
        <w:t>Bedingte Entlassung aus dem Strafvollzug | Straf- und Massnahmenvollzug</w:t>
      </w:r>
    </w:p>
    <w:p>
      <w:pPr>
        <w:pStyle w:val="Heading2"/>
      </w:pPr>
      <w:r>
        <w:t>Erwägungen</w:t>
      </w:r>
    </w:p>
    <w:p>
      <w:r>
        <w:rPr>
          <w:b/>
        </w:rPr>
        <w:t>E. 1</w:t>
      </w:r>
    </w:p>
    <w:p>
      <w:r>
        <w:t>Der Beschwerdeführer verbüsst momentan eine vierjährige Freiheitsstrafe wegen Raubes. Die Vollzugsbehörden lehnten seinen Antrag auf bedingte Entlassung nach Verbüssung von zwei Dritteln der Freiheitsstrafe am 11. Januar 2019 ab. Die hiergegen erhobene Beschwerde wies die Vorinstanz am 5. Juli 2019 ab und auferlegte dem Beschwerdeführer die Verfahrenskosten von Fr. 1'000.-. Der Beschwerdeführer gelangt ans Bundesgericht und beantragt sinngemäss, der Entscheid der Vorinstanz sei aufzuheben und ihm sei die bedingte Entlassung zu gewähren.</w:t>
      </w:r>
    </w:p>
    <w:p>
      <w:r>
        <w:rPr>
          <w:b/>
        </w:rPr>
        <w:t>E. 2</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rPr>
          <w:b/>
        </w:rPr>
        <w:t>E. 3</w:t>
      </w:r>
    </w:p>
    <w:p>
      <w:r>
        <w:t>Die Eingabe genügt den gesetzlichen Begründungsanforderungen nicht. Der Beschwerdeführer setzt sich mit dem angefochtenen Entscheid nicht ansatzweise auseinander. Seine Ausführungen erschöpfen sich in allgemeiner Kritik am schweizerischen Justiz- und Vollzugssystem.</w:t>
      </w:r>
    </w:p>
    <w:p>
      <w:r>
        <w:rPr>
          <w:b/>
        </w:rPr>
        <w:t>E. 4</w:t>
      </w:r>
    </w:p>
    <w:p>
      <w:r>
        <w:t>Auf die Beschwerde ist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