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870/2016 vom 21. August 2017</w:t>
      </w:r>
    </w:p>
    <w:p>
      <w:r>
        <w:t>Bundesgericht, 2017-08-21, FR</w:t>
      </w:r>
    </w:p>
    <w:p>
      <w:r>
        <w:rPr>
          <w:b/>
        </w:rPr>
        <w:t xml:space="preserve">Quelle: </w:t>
      </w:r>
      <w:r>
        <w:t>https://mcp.opencaselaw.ch/entscheid/bger_6B_870_2016</w:t>
      </w:r>
    </w:p>
    <w:p>
      <w:r>
        <w:t>FR: TF 6B 870/2016 du 21 août 2017</w:t>
      </w:r>
    </w:p>
    <w:p>
      <w:r>
        <w:t>IT: TF 6B 870/2016 del 21 agosto 2017</w:t>
      </w:r>
    </w:p>
    <w:p>
      <w:pPr>
        <w:pStyle w:val="Heading2"/>
      </w:pPr>
      <w:r>
        <w:t>Regeste</w:t>
      </w:r>
    </w:p>
    <w:p>
      <w:r>
        <w:t>Fixation de la peine (infraction grave à la LStup) | Droit pénal (en général)</w:t>
      </w:r>
    </w:p>
    <w:p>
      <w:pPr>
        <w:pStyle w:val="Heading2"/>
      </w:pPr>
      <w:r>
        <w:t>Erwägungen</w:t>
      </w:r>
    </w:p>
    <w:p>
      <w:r>
        <w:rPr>
          <w:b/>
        </w:rPr>
        <w:t>E. 1</w:t>
      </w:r>
    </w:p>
    <w:p>
      <w:r>
        <w:t>Dénonçant un déni de justice formel et une violation de son droit d'être entendu, le recourant fait grief à la cour cantonale de ne pas avoir tenu compte de sa situation personnelle particulière. En particulier, celle-ci aurait omis de se prononcer sur l'application de l'art. 48 let. a ch. 1 et/ou 2 CP, qu'il aurait plaidée.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Comme on le verra ci-dessous (cf. consid. 2.2), la cour cantonale n'a pas méconnu la situation personnelle du recourant. Pour le surplus, les circonstances aggravantes du mobile honorable et de la détresse profonde ( art. 48 let. a CP ) ne sont manifestement pas réalisées. Les griefs du recourant étaient donc sans pertinence, de sorte que la cour de céans ne saurait reprocher à la cour cantonale de ne pas les avoir traités. Les griefs tirés du déni de justice formel et de la violation du droit d'être entendu doivent être rejetés.</w:t>
      </w:r>
    </w:p>
    <w:p>
      <w:r>
        <w:rPr>
          <w:b/>
        </w:rPr>
        <w:t>E. 2</w:t>
      </w:r>
    </w:p>
    <w:p>
      <w:r>
        <w:t>Condamné à une peine privative de liberté de quatre ans et six mois, le recourant qualifie cette peine d'excessive.</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Tribunal fédéral a rappelé les éléments dont il fallait tenir compte, en matière de trafic de stupéfiants, notamment dans les arrêts 6B_107/2013 du 15 mai 2013 consid. 2.1.1 et 6B_921/2010 du 25 janvier 2011 consid. 2.1. En particulier, il est admis que la circonstance aggravante de l' art. 19 al. 2 let. a LStup est remplie, dès que le trafic porte sur une quantité contenant 18 grammes de cocaïne pure ( ATF 138 IV 100 consid. 3.2 p. 103; 120 IV 334 consid. 2a p. 338; 109 IV 143 consid. 3b p. 145).</w:t>
      </w:r>
    </w:p>
    <w:p>
      <w:r>
        <w:rPr>
          <w:b/>
        </w:rPr>
        <w:t>E. 2.1.2</w:t>
      </w:r>
    </w:p>
    <w:p>
      <w:r>
        <w:t>Selon l' art. 48 let. a CP , le juge atténue la peine si l'auteur a agi en cédant à un mobile honorable (ch. 1) ou dans une détresse profonde (ch. 2).</w:t>
      </w:r>
    </w:p>
    <w:p>
      <w:r>
        <w:rPr>
          <w:b/>
        </w:rPr>
        <w:t>E. 2.2</w:t>
      </w:r>
    </w:p>
    <w:p>
      <w:r>
        <w:t>Le recourant reproche à la cour cantonale de ne pas avoir tenu compte de sa situation personnelle. Il considère que sa peine devrait être réduite en application de l'art. 48 let. a ch. 1 et/ou 2 CP, dès lors qu'il a agi en cédant à un mobile honorable ou dans une détresse profonde. Il explique qu'il a une fille souffrant de troubles mentaux, que sa maison a été saisie et que sa mère, en Guinée, était gravement malade au moment des faits. Il ajoute qu'il est difficile de trouver du travail en Espagne, qui connaît une crise économique notoire. La cour cantonale n'a pas méconnu la situation personnelle du recourant. Elle l'a résumée aux pages 33 s. Elle a expliqué que l'une de ses filles souffrait de troubles mentaux, que sa maison avait été saisie et qu'à son arrivée à la Prison B.________, il a immédiatement demandé à travailler, ce qui lui avait permis d'envoyer de l'argent à sa famille, en particulier à sa mère malade, âgée de 75 ans. Sur le plan de la fixation de la peine, elle a toutefois considéré que la situation personnelle du recourant ne justifiait en rien les actes commis, ce d'autant plus que, disposant d'un titre de séjour, il avait la possibilité de travailler en Espagne (arrêt attaqué p. 50). Elle ne peut qu'être suivie. En effet, on ne peut pas retenir la détresse profonde du fait que l'auteur vit dans une mauvaise situation financière et qu'il a de la peine à trouver un emploi; il faut qu'il se trouve dans une situation analogue à un état de nécessité, ce qui ne ressort pas de l'arrêt cantonal ni de l'argumentation du recourant. La condition du mobile honorable n'est pas non plus réalisée. En effet, même si - comme le soutient le recourant - il destinait une partie de l'argent gagné illicitement à sa famille, il a mis en danger, par son trafic, la santé de nombreuses personnes, ce qui rejette dans l'ombre un éventuel mobile honorable (cf. ATF 128 IV 53 consid. 3c p. 64). Dans la mesure de leur recevabilité, les griefs soulevés doivent donc être rejetés.</w:t>
      </w:r>
    </w:p>
    <w:p>
      <w:r>
        <w:rPr>
          <w:b/>
        </w:rPr>
        <w:t>E. 3</w:t>
      </w:r>
    </w:p>
    <w:p>
      <w:r>
        <w:t>Le recourant soutient que la cour cantonale a tenu compte d'une " collaboration moyenne " du recourant à son détriment dans la fixation de sa peine, en violation de l' art. 113 al. 1 CPP .</w:t>
      </w:r>
    </w:p>
    <w:p>
      <w:r>
        <w:rPr>
          <w:b/>
        </w:rPr>
        <w:t>E. 3.1</w:t>
      </w:r>
    </w:p>
    <w:p>
      <w:r>
        <w:t>Selon la jurisprudence, l'exercice, par le prévenu, de son droit au silence ne saurait justifier une aggravation de la sanction, à moins que l'on puisse déduire une absence de remords et de prise de conscience de sa faute (cf. ATF 129 IV 6 consid. 6.1 p. 20; voir également arrêts 6B_740/2016 du 2 juin 2017 consid. 1; 6B_688/2015 du 19 mai 2016 consid. 3.5 et les références citées).</w:t>
      </w:r>
    </w:p>
    <w:p>
      <w:r>
        <w:rPr>
          <w:b/>
        </w:rPr>
        <w:t>E. 3.2</w:t>
      </w:r>
    </w:p>
    <w:p>
      <w:r>
        <w:t>La cour cantonale a expliqué que la collaboration du recourant à la procédure avait été moyenne, car même s'il avait admis avoir participé au trafic de stupéfiant, il avait minimisé les quantités de drogue et atténué son rôle dans le trafic. Elle a toutefois aussi retenu que le recourant n'avait manifesté aucun repentir. Elle n'a donc pas aggravé la peine en raison d'une collaboration moyenne, mais bien en raison du défaut de repentir et de prise de conscience de sa faute. Le grief est infondé.</w:t>
      </w:r>
    </w:p>
    <w:p>
      <w:r>
        <w:rPr>
          <w:b/>
        </w:rPr>
        <w:t>E. 4</w:t>
      </w:r>
    </w:p>
    <w:p>
      <w:r>
        <w:t>Dénonçant une violation du principe de la célérité, le recourant reproche à la cour cantonale d'avoir pris 94 jours pour motiver son jugement, alors que l' art. 84 al. 4 CPP prévoit un délai de 60 jours.</w:t>
      </w:r>
    </w:p>
    <w:p>
      <w:r>
        <w:rPr>
          <w:b/>
        </w:rPr>
        <w:t>E. 4.1</w:t>
      </w:r>
    </w:p>
    <w:p>
      <w:r>
        <w:t>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 ATF 135 I 265 consid. 4.4 p. 277). On ne saurait reprocher à l'autorité quelques temps morts, qui sont inévitables dans une procédure. Lorsqu'aucun d'eux n'est d'une durée vraiment choquante, c'est l'appréciation d'ensemble qui prévaut ( ATF 130 IV 54 consid. 3.3.3 p. 56; 130 I 312 consid. 5.2 p. 332). Enfin, il appartient au justiciable d'entreprendre ce qui est en son pouvoir pour que l'autorité fasse diligence, que ce soit en l'invitant à accélérer la procédure ou en recourant, le cas échéant, pour retard injustifié ( ATF 130 I 312 consid. 5.2 p. 332). L' 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(cf. notamment NIKLAUS SCHMID, Schweizerische Strafprozessordnung, Praxiskommentar, 2e éd., 2013, n° 4 ad art. 405 CPP ). Les délais de l' art. 84 al. 4 CPP sont des délais d'ordre (arrêt 6B_95/2013 du 10 décembre 2013, consid. 5). Leur dépassement ne constitue pas en soi une violation du principe de la célérité, mais peut en constituer un indice (DANIELA BRÜSCHWEILER, in Kommentar zur Schweizerischen Strafprozessordnung, 2e éd., 2014, n° 6 ad art. 84 CPP ; NIKLAUS SCHMID, Handbuch des schweizerischen Strafprozessrechts, 2e éd., 2013, n° 597; cf. arrêt 6B_1066/2013 du 27 février 2014 consid. 1.1.1).</w:t>
      </w:r>
    </w:p>
    <w:p>
      <w:r>
        <w:rPr>
          <w:b/>
        </w:rPr>
        <w:t>E. 4.2</w:t>
      </w:r>
    </w:p>
    <w:p>
      <w:r>
        <w:t>La cour cantonale a notifié son jugement motivé 94 jours après l'audience. Certes, ce délai dépasse les délais prévus à l' art. 84 al. 4 CPP . Ce dépassement n'apparaît toutefois pas choquant. En effet, même si l'affaire n'est pas d'une complexité extraordinaire, le jugement de 60 pages concerne un trafic international de cocaïne impliquant de nombreux auteurs, dont trois ont fait appel. Au demeurant, la durée de la procédure, prise dans son ensemble, depuis l'interpellation du recourant jusqu'à la notification du jugement d'appel, est de moins de deux ans, ce qui est tout à fait raisonnable. Le grief de violation du principe de la célérité doit donc être rejeté.</w:t>
      </w:r>
    </w:p>
    <w:p>
      <w:r>
        <w:rPr>
          <w:b/>
        </w:rPr>
        <w:t>E. 5</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