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86/2020 vom 31. März 2020</w:t>
      </w:r>
    </w:p>
    <w:p>
      <w:r>
        <w:t>Bundesgericht, 2020-03-31, FR</w:t>
      </w:r>
    </w:p>
    <w:p>
      <w:r>
        <w:rPr>
          <w:b/>
        </w:rPr>
        <w:t xml:space="preserve">Quelle: </w:t>
      </w:r>
      <w:r>
        <w:t>https://mcp.opencaselaw.ch/entscheid/bger_6B_86_2020</w:t>
      </w:r>
    </w:p>
    <w:p>
      <w:r>
        <w:t>FR: TF 6B 86/2020 du 31 mars 2020</w:t>
      </w:r>
    </w:p>
    <w:p>
      <w:r>
        <w:t>IT: TF 6B 86/2020 del 31 marzo 2020</w:t>
      </w:r>
    </w:p>
    <w:p>
      <w:pPr>
        <w:pStyle w:val="Heading2"/>
      </w:pPr>
      <w:r>
        <w:t>Regeste</w:t>
      </w:r>
    </w:p>
    <w:p>
      <w:r>
        <w:t>Arbitraire | Infractions</w:t>
      </w:r>
    </w:p>
    <w:p>
      <w:pPr>
        <w:pStyle w:val="Heading2"/>
      </w:pPr>
      <w:r>
        <w:t>Erwägungen</w:t>
      </w:r>
    </w:p>
    <w:p>
      <w:r>
        <w:rPr>
          <w:b/>
        </w:rPr>
        <w:t>E. 1</w:t>
      </w:r>
    </w:p>
    <w:p>
      <w:r>
        <w:t>Le recourant reproche à l'autorité précédente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 cour cantonale a exposé que les images de vidéosurveillance du garage ne comprenaient pas le début de l'altercation. Cette phase de l'échauffourée n'avait été vue par aucun témoin. Le recourant et E.________ avaient tous deux contesté qu'un coup de matraque eût été porté par celui-ci sur le bras de l'intimé. Ce dernier avait cependant été constant dans ses déclarations. Il ne s'était jamais contredit et avait détaillé le déroulement de l'altercation. Le recourant avait, quant à lui, fourni des explications invraisemblables. Il avait prétendu qu'il ne savait rien du litige opposant son père à l'intimé et qu'il ignorait tout du but de la visite de celui-ci au garage. Il avait toutefois également déclaré qu'en quittant son motocycle, il avait emporté la matraque télescopique se trouvant toujours sous sa selle, "au cas où ça tournerait mal", qu'il n'avait pas l'intention d'utiliser cet objet et ignorait que son père et l'intimé étaient brouillés. Le recourant avait aussi indiqué qu'il avait porté la matraque non ouverte, cachée sous son bras, qu'il avait placé une veste par-dessus, n'avait jamais brandi cette arme ou levé le bras, mais était demeuré bras croisés et à distance de l'intimé durant l'altercation. Or, sur les images de vidéosurveillance, le recourant n'apparaissait jamais avec les bras croisés, tandis que sa matraque n'était pas cachée sous le bras ou sous une veste. L'un des témoins - qui n'avait pas assisté au début de l'altercation - avait en outre déclaré que le recourant tenait alors une matraque à la main. Sur les images de vidéosurveillance, le recourant semblait extraire de sa poche la matraque juste avant de sortir du champ de la caméra. Au cours des débats de première instance, le recourant avait relevé qu'il n'était pas visible sur les images de vidéosurveillance durant sept secondes et avait soutenu que cette durée aurait été trop courte pour sortir la matraque, la déployer, frapper l'intimé puis replier l'arme, ce qu'il n'aurait pu faire que sur le bitume. Selon la cour cantonale, une matraque télescopique pouvait pourtant se déployer d'une seule main, d'un unique geste et donc très rapidement. Il en allait de même pour la replier. Ainsi, sept secondes avaient suffi au recourant pour déployer sa matraque télescopique, frapper l'intimé et replier l'arme. L'autorité précédente a ajouté que, selon le recourant, l'intimé avait dû se blesser en tombant. Or, selon une attestation médicale du 10 avril 2017, les lésions constatées sur l'intéressé évoquaient un coup porté par un objet contondant, non une chute. En outre, selon les déclarations de E.________, le sol sur lequel l'intimé serait tombé était fait de terre et de gazon, ce qui rendait encore moins vraisemblable l'hypothèse d'une blessure causée par une chute. Il convenait ainsi de retenir que le recourant avait activement participé à l'altercation, en portant un coup de matraque à l'intimé puis, toujours muni de cette arme, en empêchant les collègues de ce dernier d'intervenir d'une quelconque manière.</w:t>
      </w:r>
    </w:p>
    <w:p>
      <w:r>
        <w:rPr>
          <w:b/>
        </w:rPr>
        <w:t>E. 1.3</w:t>
      </w:r>
    </w:p>
    <w:p>
      <w:r>
        <w:t>Ignorant les réquisits légaux en matière de contestation de l'établissement des faits, le recourant développe une argumentation purement appellatoire et, partant, irrecevable, par laquelle il substitue sa propre appréciation des preuves à celle à laquelle s'est livrée l'autorité précédente, sans démontrer en quoi celle-ci serait arbitraire. Il en va ainsi lorsqu'il livre sa propre lecture des déclarations successives de l'intimé, sans montrer quelle constatation insoutenable aurait pu en être tirée par la cour cantonale, l'intéressé ayant au demeurant - comme l'a relevé l'autorité précédente - constamment expliqué que le recourant lui avait asséné un coup avec sa matraque, cette frappe ayant pu être parée par un mouvement de protection avec le bras gauche. Par ailleurs, il n'était aucunement arbitraire de prêter foi aux explications de l'intimé s'agissant de la réalité du coup de matraque reçu, même si celui-ci n'a pas, au cours de ses déclarations successives, pu rapporter l'ordre exact dans lequel il avait reçu les frappes en étant assailli par le recourant et son père, ni livrer un récit circonstancié de l'enchaînement précis de ses gestes et déplacements tandis qu'il essayait d'échapper à l'assaut. Le recourant tente également en vain d'identifier de prétendues invraisemblances dans la version des événements de l'intimé, aucun des aspects abordés ne faisant apparaître comme insoutenable la constatation selon laquelle il a asséné un coup de matraque à l'intéressé. Il en va de même lorsque le recourant rediscute librement la crédibilité de ses propres déclarations en tentant d'en exposer la vraisemblance, sans démontrer qu'il aurait été arbitraire de les écarter. S'agissant de la manipulation de la matraque, le recourant conteste tout d'abord que les images de vidéosurveillance l'eussent montré en train d'extraire cette arme de sa poche avant de disparaître du champ de la caméra. On ne voit pas en quoi la correction d'un éventuel vice sur ce point serait susceptible d'influer sur le sort de la cause (cf. art. 97 al. 1 LTF ), puisque la version des événements retenue par l'autorité précédente n'implique pas nécessairement qu'un tel geste fût effectivement accompli par le recourant avant qu'un coup fût porté à l'intimé. Par ailleurs, l'argumentation du recourant s'avère derechef purement appellatoire lorsqu'elle consiste dans sa propre appréciation du temps et de la surface nécessaires à la fermeture de sa matraque, de son attitude sur les images de vidéosurveillance, ou encore du déroulement des événements pendant les sept secondes durant lesquelles les protagonistes se sont trouvés hors du champ de la caméra, l'intéressé ne présentant aucun élément faisant apparaître comme insoutenables les constatations de la cour cantonale à cet égard. Le recourant prétend ensuite que la blessure subie par l'intimé au bras gauche serait incompatible avec la posture de défense que ce dernier prétend avoir adoptée, une chute devant être à l'origine de cette lésion. Sur ce dernier point, le recourant ne démontre nullement qu'il aurait été arbitraire, pour la cour cantonale, de se fonder sur le certificat médical du 10 avril 2017, dans lequel le médecin ayant examiné l'intimé a indiqué que la blessure concernée était évocatrice d'un coup porté avec un objet contondant et non d'une chute. S'agissant du geste adopté par l'intimé pour parer le coup, le recourant ne fait pas davantage apparaître l'état de fait de l'autorité précédente comme arbitraire, mais affirme, de manière appellatoire et sans s'appuyer sur d'autres éléments, qu'une frappe portée depuis le haut aurait dû - compte tenu du geste de protection avec "avant-bras gauche au-dessus de son front, avec le pouce vers le bas" accompli par l'intimé - causer une blessure sur le côté extérieur du poignet et non du côté du pouce, lequel était orienté vers le bas. On ne voit pourtant pas pourquoi la matraque, frappant du haut vers le bas, n'aurait pas pu atteindre le radius de l'intimé, ce dernier ayant pu, afin de protéger sa tête, orienter sa main non pas verticalement mais avec la paume orientée partiellement vers le ciel, plaçant ainsi cet os en première position face à l'arme du recourant. C'est donc en vain que le recourant conteste l'état de fait de la cour cantonale, qui n'apparaît pas arbitraire. Le grief doit être rejeté dans la mesure où il est recevable.</w:t>
      </w:r>
    </w:p>
    <w:p>
      <w:r>
        <w:rPr>
          <w:b/>
        </w:rPr>
        <w:t>E. 2</w:t>
      </w:r>
    </w:p>
    <w:p>
      <w:r>
        <w:t>Le Tribunal fédéral applique le droit d'office ( art. 106 al. 1 LTF ). Eu égard à l'exigence de motivation contenue à l' art. 42 al. 2 LTF , le Tribunal fédéral n'examine en principe que les griefs soulevés; il n'est pas tenu de traiter, comme le ferait une autorité de première instance, toutes les questions juridiques qui pourraient se poser, mais uniquement celles qui sont soulevées devant lui, sauf en présence d'une violation du droit évidente ( ATF 142 I 99 consid. 1.7.1 p. 106; 140 III 115 consid. 2 p. 116; 138 I 274 consid. 1.6 p. 280; cf. arrêt 6B_1280/2019 du 5 février 2020 consid. 6). Tel est le cas en l'espèce, puisque la cour cantonale a condamné le recourant à une peine pécuniaire de 300 jours-amende, alors que, selon l' art. 34 al. 1 CP dans sa teneur depuis le 1er janvier 2018, la peine pécuniaire est, sauf disposition contraire, de 180 jours-amende au plus ( ATF 145 IV 449 consid. 1.4 p. 452 s.; 144 IV 217 consid. 3.6 p. 237). Cette violation manifeste du droit fédéral peut être corrigée d'office par le Tribunal fédéral.</w:t>
      </w:r>
    </w:p>
    <w:p>
      <w:r>
        <w:rPr>
          <w:b/>
        </w:rPr>
        <w:t>E. 3</w:t>
      </w:r>
    </w:p>
    <w:p>
      <w:r>
        <w:t>Au vu de ce qui précède, le recours doit être très légèrement admis. Pour le reste, il doit être rejeté dans la mesure où il est recevable. Le recourant, qui succombe très largement, supporte les frais judiciaires, toutefois réduits pour tenir compte de l'admission partielle ( art. 66 al. 1 LTF ). Comme l'admission très partielle du recours ne résulte pas de son argumentation mais de la correction d'office d'une violation évidente du droit fédéral, il n'y a pas lieu d'octroyer des dépens au recourant.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