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6B_86/2015 vom 30. November 2015</w:t>
      </w:r>
    </w:p>
    <w:p>
      <w:r>
        <w:t>Bundesgericht, 2015-11-30, FR</w:t>
      </w:r>
    </w:p>
    <w:p>
      <w:r>
        <w:rPr>
          <w:b/>
        </w:rPr>
        <w:t xml:space="preserve">Quelle: </w:t>
      </w:r>
      <w:r>
        <w:t>https://mcp.opencaselaw.ch/entscheid/bger_6B_86_2015</w:t>
      </w:r>
    </w:p>
    <w:p>
      <w:r>
        <w:t>FR: TF 6B_86/2015 du 30 novembre 2015</w:t>
      </w:r>
    </w:p>
    <w:p>
      <w:r>
        <w:t>IT: TF 6B_86/2015 del 30 novembre 2015</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Le recourant prétend que ses prétentions civiles découlent directement de la nature de l'infraction et sans ambiguïté dès lors qu'elles sont fondées sur les art. 28 ss CC , qui lui permettent d'obtenir des dommages-intérêts et la réparation du tort moral ( art. 28a al. 3 CC ). Or, l'ancienne jurisprudence rendue avant l'entrée en vigueur de la LTF, qui dispensait celui qui était lésé par une prétendue atteinte à l'honneur de faire valoir des prétentions civiles (cf. ATF 121 IV 76 ), n'a plus cours (cf. arrêt 6B_94/2013 du 3 octobre 2013 consid. 1.1). Il s'ensuit que les exigences de motivation susmentionnées (cf. supra consid. 1.1) sont requises à l'égard de celui qui se plaint d'infractions attentatoires à l'honneur ou contre le domaine secret ou privé soit, en l'espèce, de violation de l' art. 179quater CP . En l'espèce, le recourant se limite à alléguer avoir subi essentiellement un tort moral qu'il chiffre à 4'000 fr. et qu'il a dû depuis lors déménager en conséquence du harcèlement de l'intimée, ce qui a entraîné pour lui " des frais et un tort moral supplémentaire qu'il pourra chiffrer dans la suite de la procédure ". Il ne consacre cependant aucun développement à ses prétentions en tort moral qui permette de comprendre en quoi l'atteinte subie serait suffisamment grave, ni en quoi sa souffrance serait assez forte pour justifier une réparation; en effet, n'importe quelle atteinte légère à la réputation professionnelle, économique ou sociale d'une personne ne justifie pas une telle réparation ( ATF 130 III 699 consid. 5.1 p. 704; 125 III 70 consid. 3a p. 75). Partant, en l'absence d'explications circonstanciées permettant d'accréditer l'affirmation du recourant selon laquelle il a subi un tort moral du fait des agissements de l'intimée, la simple articulation du montant de 4'000 fr. ne permet pas de retenir qu'il aurait des prétentions civiles à faire valoir dans cette mesure. De même, il ne se détermine aucunement sur le dommage qu'il allègue, tant sur son principe que sa quotité. Enfin, le recourant ne saurait rien déduire en sa faveur lorsqu'il allègue avoir un intérêt juridique à la modification de la décision attaquée dès lors que, dans une procédure parallèle, il est accusé de voies de fait à l'encontre de l'intimée pour l'avoir aspergée avec un tuyau d'arrosage et qu'il entend plaider la légitime défense consécutive à la violation de l'intimée du domaine privé au moyen d'un appareil de prise de vues. Ce grief ne porte pas sur des prétentions civiles pouvant découler d'une infraction, mais sur les conséquences pénales qui en résultent. Pour le surplus, le recourant conserve la faculté, dans le cadre de la procédure dans laquelle il revêt la qualité de prévenu, de faire valoir l'ensemble des arguments qu'il juge pertinents pour contester sa condamnation. L'absence de toute explication circonstanciée sur ces points exclut sa qualité pour recourir sur le fond de la cause.</w:t>
      </w:r>
    </w:p>
    <w:p>
      <w:r>
        <w:rPr>
          <w:b/>
        </w:rPr>
        <w:t>E. 2</w:t>
      </w:r>
    </w:p>
    <w:p>
      <w:r>
        <w:t>Pour le reste, le recourant n'invoque aucune violation de son droit de porter plainte (81 al. 1 let. b ch. 6 LTF) ni ne fait valoir de violation de ses droits de partie équivalant à un déni de justice formel (cf. ATF 141 IV 1 consid. 1.1 p. 4 et les références citées). Il ne démontre donc pas avoir qualité pour recourir au Tribunal fédéral sous ces différents angles.</w:t>
      </w:r>
    </w:p>
    <w:p>
      <w:r>
        <w:rPr>
          <w:b/>
        </w:rPr>
        <w:t>E. 3</w:t>
      </w:r>
    </w:p>
    <w:p>
      <w:r>
        <w:t>Sur le vu de ce qui précède, le recours doit être déclaré irrecevable. 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