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6B_869/2024 vom 7. Juli 2025</w:t>
      </w:r>
    </w:p>
    <w:p>
      <w:r>
        <w:t>Bundesgericht, 2025-07-07, FR</w:t>
      </w:r>
    </w:p>
    <w:p>
      <w:r>
        <w:rPr>
          <w:b/>
        </w:rPr>
        <w:t xml:space="preserve">Quelle: </w:t>
      </w:r>
      <w:r>
        <w:t>https://mcp.opencaselaw.ch/entscheid/bger_6B_869_2024</w:t>
      </w:r>
    </w:p>
    <w:p>
      <w:r>
        <w:t>FR: TF 6B_869/2024 du 7 juillet 2025</w:t>
      </w:r>
    </w:p>
    <w:p>
      <w:r>
        <w:t>IT: TF 6B_869/2024 del 7 luglio 2025</w:t>
      </w:r>
    </w:p>
    <w:p>
      <w:pPr>
        <w:pStyle w:val="Heading2"/>
      </w:pPr>
      <w:r>
        <w:t>Erwägungen</w:t>
      </w:r>
    </w:p>
    <w:p>
      <w:r>
        <w:rPr>
          <w:b/>
        </w:rPr>
        <w:t>E. 1</w:t>
      </w:r>
    </w:p>
    <w:p>
      <w:r>
        <w:t>Invoquant les art. 6 par. 1 et 3 CEDH , 29 Cst., 107 et 147 CPP, le recourant se plaint de la prise en compte du rapport du 11 mars 2024 des Transports publics de la région lausannoise (ci-après: TL) comme seul élément à charge, ce qui constituerait une violation de son droit d'être entendu, de son droit à la confrontation et de son droit de participer à l'administration des preuves.</w:t>
      </w:r>
    </w:p>
    <w:p>
      <w:r>
        <w:rPr>
          <w:b/>
        </w:rPr>
        <w:t>E. 1.1.1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 144 II 427 consid. 3.1.3).</w:t>
      </w:r>
    </w:p>
    <w:p>
      <w:r>
        <w:rPr>
          <w:b/>
        </w:rPr>
        <w:t>E. 1.1.2</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 ATF 136 I 229 consid. 5.3; arrêt 6B_843/2024 du 30 avril 2025 consid. 1.1.2 et les références citées).</w:t>
      </w:r>
    </w:p>
    <w:p>
      <w:r>
        <w:rPr>
          <w:b/>
        </w:rPr>
        <w:t>E. 1.1.3</w:t>
      </w:r>
    </w:p>
    <w:p>
      <w:r>
        <w:t>La maxime de l'instruction, découlant de l' art. 6 CPP , oblige les autorités pénales à rechercher d'office tous les faits pertinents pour la qualification de l'acte et le jugement du prévenu (al. 1), mais également à instruire avec un soin égal les circonstances qui peuvent être à la charge et à la décharge de celui-ci (al. 2). Elle n'oblige toutefois pas le juge à administrer d'office de nouvelles preuves lorsqu'il a déjà formé son opinion sur la base du dossier et parvient à la conclusion que les preuves en question ne sont pas décisives pour la solution du litige ou qu'elles ne pourraient l'amener à modifier son opinion (v. notamment les arrêts 6B_228/2024 du 3 avril 2025 consid. 3.1.4 et 6B_524/2023 du 18 août 2023 consid. 3.1).</w:t>
      </w:r>
    </w:p>
    <w:p>
      <w:r>
        <w:rPr>
          <w:b/>
        </w:rPr>
        <w:t>E. 1.1.4</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arrêts 6B_174/2022 du 12 janvier 2023 consid. 6.1; 6B_1028/2020 du 1er avril 2021 consid. 1.2.1; 6B_383/2019 du 8 novembre 2019 consid. 8.1.2 non publié in ATF 145 IV 470 ). En tant qu'elle concrétise le droit d'être entendu ( art. 29 al. 2 Cst. ), cette exigence est également garantie par l' art. 32 al. 2 Cst. ( ATF 144 II 427 consid. 3.1.2; 131 I 476 consid. 2.2). Ce droit est absolu lorsque la déposition du témoin en cause est d'une importance décisive, notamment lorsqu'il est le seul témoin ou que sa déposition constitue une preuve essentielle ( ATF 131 I 476 consid. 2.2; arrêts 6B_174/2022 précité consid. 6.1; 6B_721/2020 du 11 février 2021 consid. 3.3.1). La question de savoir si le droit d'interroger ou de faire interroger les témoins à charge garanti par l' art. 6 par. 3 let . d CEDH a été respecté doit être examinée dans chaque cas en fonction de l'ensemble de la procédure et des circonstances concrètes (arrêts 6B_721/2020 précité consid. 3.3.1; 6B_289/2020 du 1er décembre 2020 consid. 4.5.1). On peut finalement rappeler que les droits minimaux garantis par cette disposition ne sont pas des fins en soi. Leur but intrinsèque est toujours de contribuer à préserver l'équité de la procédure pénale dans son ensemble (arrêts CourEDH</w:t>
      </w:r>
    </w:p>
    <w:p>
      <w:r>
        <w:t>Hamdani c. Suisse du 28 mars 2023, § 29;</w:t>
      </w:r>
    </w:p>
    <w:p>
      <w:r>
        <w:t>Beuze c. Belgique du 9 novembre 2018 [GC], §§ 120 à 123 et 147;</w:t>
      </w:r>
    </w:p>
    <w:p>
      <w:r>
        <w:t>Murtazaliyeva c. Russie du 18 décembre 2018 [GC], § 90 et les références citées).</w:t>
      </w:r>
    </w:p>
    <w:p>
      <w:r>
        <w:rPr>
          <w:b/>
        </w:rPr>
        <w:t>E. 1.1.5</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 147 IV 73 consid. 4.1.2).</w:t>
      </w:r>
    </w:p>
    <w:p>
      <w:r>
        <w:rPr>
          <w:b/>
        </w:rPr>
        <w:t>E. 1.2.1</w:t>
      </w:r>
    </w:p>
    <w:p>
      <w:r>
        <w:t>Sous l'angle du rejet des réquisitions de preuves du recourant, respectivement sous l'angle de son droit de participer à l'administration des preuves ou de la maxime de l'instruction - étant précisé que ces différentes notions ont la même portée au regard du grief examiné - la cour cantonale a tout d'abord relevé y avoir partiellement donné suite en versant au dossier un rapport établi le 6 décembre 2022 par le Commandant de la police de la Ville de Lausanne et le rapport des TL du 11 mars 2024 (jugement attaqué consid. 4.2). Estimant que ces documents décrivent précisément la nature des renseignements dont disposaient les autorités ainsi que les difficultés auxquelles elles ont été confrontées, ce qui correspond justement au but poursuivi par le recourant, elle a jugé que, pour le surplus, les réquisitions de preuves étaient inutiles pour statuer sur la cause, car portant sur des faits non pertinents et/ou déjà connus de l'autorité et/ou suffisamment prouvés. À cet égard, elle a précisé que le recourant ne prétendait pas que les renseignements contenus dans le rapport du 11 mars 2024 seraient erronés, mais encore qu'il ne fournissait aucun élément propre à éveiller un doute à ce sujet (jugement attaqué consid. 6.2).</w:t>
      </w:r>
    </w:p>
    <w:p>
      <w:r>
        <w:rPr>
          <w:b/>
        </w:rPr>
        <w:t>E. 1.2.2</w:t>
      </w:r>
    </w:p>
    <w:p>
      <w:r>
        <w:t>Si tant est qu'il faille considérer que le recourant conteste le rejet de ses réquisitions de preuves, ce qui n'apparaît pas clairement dans ses écritures, il y a lieu de constater qu'il ne démontre pas, par une motivation conforme aux prérequis de l' art. 106 al. 2 LTF , en quoi l'appréciation anticipée par la cour cantonale des moyens de preuve encore proposés serait entachée d'arbitraire. Se contenter de dire que les circonstances dans lesquelles le rapport du 11 mars 2024 a été rédigé sont inconnues est insuffisant.</w:t>
      </w:r>
    </w:p>
    <w:p>
      <w:r>
        <w:rPr>
          <w:b/>
        </w:rPr>
        <w:t>E. 1.3.1</w:t>
      </w:r>
    </w:p>
    <w:p>
      <w:r>
        <w:t>Sous l'angle du droit à la confrontation du recourant, la cour cantonale a relevé qu'elle avait fait application de l' art. 195 al. 1 CPP et que les rapports précités abordaient de manière globale et synthétique le déroulement des diverses manifestations et l'ensemble des événements, respectivement les retards engendrés sur les différentes lignes des TL concernées. De ce fait, elle a considéré qu'il ne s'agissait pas de témoignages écrits devant donner lieu à une audition de confrontation et a conclu que les pièces en question étaient exploitables (jugement attaqué consid. 4.2).</w:t>
      </w:r>
    </w:p>
    <w:p>
      <w:r>
        <w:rPr>
          <w:b/>
        </w:rPr>
        <w:t>E. 1.3.2</w:t>
      </w:r>
    </w:p>
    <w:p>
      <w:r>
        <w:t>Avec la cour cantonale, il est d'emblée précisé que les auteurs des rapports précités, en particulier les deux fonctionnaires des TL, ne sont pas intervenus en qualité de témoins au sens des art. 162ss CPP . De même, leurs écritures respectives ne constituent pas des témoignages écrits ou des rapports écrits au sens de l' art. 145 CPP . Au contraire, il faut considérer qu'ils ont donné suite à la sollicitation de la cour cantonale dans le cadre de l'exercice de leurs fonctions publiques, conformément à l' art. 195 al. 1 CPP ("demande de rapports de renseignements"), en se contentant de se rapporter à des constatations objectives, telles que la nature de l'intervention policière, le comportement général des manifestants, ou encore les retards enregistrés par les TL. Dans ce contexte, ils demeuraient libres de collaborer, sous réserve de l'application de l' art. 44 CPP (en ce sens, v. arrêt 6B_782/2024 du 18 novembre 2024 consid. 2.2 et les nombreuses références citées). Ce n'est, notamment, que si les précités avaient refusé de donner suite à la demande de la cour cantonale, ou s'il était apparu que l'état de fait n'était pas complet à l'issue d'une libre appréciation anticipée des documents en question par la cour cantonale (ce que nous avons vu ne pas être le cas; cf.</w:t>
      </w:r>
    </w:p>
    <w:p>
      <w:r>
        <w:t>supra consid. 1.2), que ceux-ci aurait pu - ou dû, selon les cas - être entendus, cette fois en qualité de témoins ou de personnes appelées à donner des renseignements (arrêts 6B_782/2024 précité consid. 2.2; 6B_811/2018 du 25 février 2019 consid. 2.).</w:t>
      </w:r>
    </w:p>
    <w:p>
      <w:r>
        <w:rPr>
          <w:b/>
        </w:rPr>
        <w:t>E. 1.3.3</w:t>
      </w:r>
    </w:p>
    <w:p>
      <w:r>
        <w:t>Compte tenu de ce qui précède, soit en particulier que les auteurs des documents susmentionnés ne peuvent pas être qualifiés de témoins et que leurs écrits ont une teneur générale ne portant aucune accusation directe, le droit à la confrontation invoqué par le recourant n'a pas vertu à s'appliquer en l'espèce. À cela s'ajoute, en complément à ce qui a été relevé</w:t>
      </w:r>
    </w:p>
    <w:p>
      <w:r>
        <w:t>supra au consid. 1.2.2, que le recourant n'a pas explicité sur quels points il aurait souhaité entendre ces témoins, dont il n'a au demeurant pas contesté les renseignements écrits sous l'angle de l'arbitraire ou à quelque autre titre que ce soit (jugement attaqué consid. 6.2). En cela, il n'apparaît pas que la cour cantonale se serait livrée à une appréciation anticipée entachée d'arbitraire ou qu'elle aurait violé l' art. 6 par. 3 CEDH (arrêts 6B_782/2024 précité consid. 2.4; 6B_893/2023 du 26 février 2024 consid. 5.4). Le grief est rejeté dans la mesure de sa recevabilité.</w:t>
      </w:r>
    </w:p>
    <w:p>
      <w:r>
        <w:rPr>
          <w:b/>
        </w:rPr>
        <w:t>E. 2</w:t>
      </w:r>
    </w:p>
    <w:p>
      <w:r>
        <w:t>À plusieurs titres, le recourant conteste sa condamnation pour entrave aux services d'intérêt général.</w:t>
      </w:r>
    </w:p>
    <w:p>
      <w:r>
        <w:rPr>
          <w:b/>
        </w:rPr>
        <w:t>E. 2.1.1</w:t>
      </w:r>
    </w:p>
    <w:p>
      <w:r>
        <w:t>En vertu de l' art. 239 ch. 1 CP , quiconque, intentionnellement, empêche, trouble ou met en danger l'exploitation d'une entreprise publique de transports ou de communications, notamment celle des chemins de fer, des postes, du télégraphe ou du téléphone (1 re hypothèse), ou l'exploitation d'un établissement ou d'une installation servant à distribuer au public l'eau, la lumière, l'énergie ou la chaleur (2e hypothèse), est puni d'une peine privative de liberté de trois ans au plus ou d'une peine pécuniaire.</w:t>
      </w:r>
    </w:p>
    <w:p>
      <w:r>
        <w:t>L' art. 239 CP tend à protéger en premier lieu l'intérêt du public à ce que certaines entreprises fournissent leurs services sans perturbation ( ATF 116 IV 44 consid. 2a, in JdT 1991 IV 137; ATF 85 IV 224 consid. III.2, in JdT 1960 IV 51; arrêt 6B_382/2023 du 25 avril 2024 consid. 6.1.2 et les références citées), indépendamment de la forme juridique, privée ou publique, dans laquelle celle-ci est exploitée ( ATF 85 IV 224 précité; v. également en ce sens le Message du Conseil fédéral du 23 juillet 1918 à l'appui d'un projet de Code pénal suisse, p. 59; arrêt 6B_382/2023 précité consid. 6.1.2 et les références citées). Il découle de ce qui précède que les entreprises ou établissements visés à l' art. 239 ch. 1 CP doivent offrir leurs services à la collectivité, chacun devant pouvoir prétendre à leur fourniture ( ATF 85 IV 224 précité; arrêt 6B_382/2023 précité consid. 6.1.2). L'application de l' art. 239 CP implique que l'entrave aux services d'intérêt général soit d'une certaine intensité, en particulier que la perturbation s'étende sur une certaine durée (arrêt 6B_382/2023 précité consid. 6.1.4 et les références citées).</w:t>
      </w:r>
    </w:p>
    <w:p>
      <w:r>
        <w:rPr>
          <w:b/>
        </w:rPr>
        <w:t>E. 2.1.2</w:t>
      </w:r>
    </w:p>
    <w:p>
      <w:r>
        <w:t>Sur la notion d'arbitraire, il est fait référence au consid. 1.1.5</w:t>
      </w:r>
    </w:p>
    <w:p>
      <w:r>
        <w:t>supra .</w:t>
      </w:r>
    </w:p>
    <w:p>
      <w:r>
        <w:rPr>
          <w:b/>
        </w:rPr>
        <w:t>E. 2.1.3</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et les arrêts cités).</w:t>
      </w:r>
    </w:p>
    <w:p>
      <w:r>
        <w:rPr>
          <w:b/>
        </w:rPr>
        <w:t>E. 2.2</w:t>
      </w:r>
    </w:p>
    <w:p>
      <w:r>
        <w:t>D'emblée, il est relevé qu'une partie des explications du recourant repose sur le postulat selon lequel son grief traité</w:t>
      </w:r>
    </w:p>
    <w:p>
      <w:r>
        <w:t>supra au consid. 1 aurait été admis,</w:t>
      </w:r>
    </w:p>
    <w:p>
      <w:r>
        <w:t>i.e. que le rapport des TL du 11 mars 2024 serait inexploitable, respectivement sur des éléments qui ne ressortent pas du jugement attaqué sans qu'il ne cherche simultanément à démontrer que la cour cantonale les aurait arbitrairement omis (cf. art. 105 al. 1 LTF ). Il n'en sera pas tenu compte.</w:t>
      </w:r>
    </w:p>
    <w:p>
      <w:r>
        <w:rPr>
          <w:b/>
        </w:rPr>
        <w:t>E. 2.3.1</w:t>
      </w:r>
    </w:p>
    <w:p>
      <w:r>
        <w:t>Le recourant reproche à la cour cantonale d'avoir procédé à une interprétation erronée du rapport des TL du 11 mars 2024.</w:t>
      </w:r>
    </w:p>
    <w:p>
      <w:r>
        <w:rPr>
          <w:b/>
        </w:rPr>
        <w:t>E. 2.3.2</w:t>
      </w:r>
    </w:p>
    <w:p>
      <w:r>
        <w:t>Suite au renvoi de la cause à la cour cantonale, dans le but notamment de compléter l'état de fait (cf.</w:t>
      </w:r>
    </w:p>
    <w:p>
      <w:r>
        <w:t>supra consid. C), celle-ci a demandé et obtenu le rapport des TL du 11 mars 2024. C'est sur cette base qu'elle a complété son état de fait.</w:t>
      </w:r>
    </w:p>
    <w:p>
      <w:r>
        <w:rPr>
          <w:b/>
        </w:rPr>
        <w:t>E. 2.3.3</w:t>
      </w:r>
    </w:p>
    <w:p>
      <w:r>
        <w:t>Du rapport précité, il ressort notamment que, durant la manifestation du 20 septembre 2019:</w:t>
      </w:r>
    </w:p>
    <w:p>
      <w:r>
        <w:t>- la ligne 16 a dû être déviée à 11h20 depuis le Pont Bessières jusqu'au Tunnel, via César-Roux;</w:t>
      </w:r>
    </w:p>
    <w:p>
      <w:r>
        <w:t>- dès 12h15, les lignes 16 et 6 ont pris environ 10 minutes de retard;</w:t>
      </w:r>
    </w:p>
    <w:p>
      <w:r>
        <w:t>- lors du rétablissement à 17h20, les lignes 6, 13, 16, 18, 22 et 60 avaient environ 18 minutes de retard suite au report du trafic;</w:t>
      </w:r>
    </w:p>
    <w:p>
      <w:r>
        <w:t>- 33 bus ont été concernés par ces modifications entre 11h20 et 17h20.</w:t>
      </w:r>
    </w:p>
    <w:p>
      <w:r>
        <w:rPr>
          <w:b/>
        </w:rPr>
        <w:t>E. 2.3.4</w:t>
      </w:r>
    </w:p>
    <w:p>
      <w:r>
        <w:t>Sur la base des éléments qui précèdent, c'est à juste titre que la cour cantonale a retenu, en fait, que le comportement du recourant (i.e. sa participation à une manifestation non autorisée sur le pont Bessières) avait directement impacté 33 bus des lignes 6, 13, 16, 18, 22 et 60 entre 11h20 et 17h20, soit durant 6 heures, pour des retards allant de 10 à 18 minutes chacun (jugement attaqué consid. 7.2). Le recourant ne démontre pas, à l'appui d'un grief dûment motivé, en quoi celle-ci aurait fait preuve d'arbitraire dans l'établissement des faits ou l'appréciation des preuves, respectivement en quoi elle aurait violé le principe</w:t>
      </w:r>
    </w:p>
    <w:p>
      <w:r>
        <w:t>in dubio pro reo . Il y a dès lors lieu de s'en tenir à l'état de fait cantonal et de rejeter le grief du recourant dans la mesure de sa recevabilité (art. 106 al. 2 et 105 al. 1 LTF).</w:t>
      </w:r>
    </w:p>
    <w:p>
      <w:r>
        <w:rPr>
          <w:b/>
        </w:rPr>
        <w:t>E. 2.4.1</w:t>
      </w:r>
    </w:p>
    <w:p>
      <w:r>
        <w:t>Le recourant invoque également une violation de l' art. 239 CP , aux motifs que l'entrave ne revêtirait pas une intensité suffisante et que l'élément constitutif subjectif ne serait pas donné.</w:t>
      </w:r>
    </w:p>
    <w:p>
      <w:r>
        <w:rPr>
          <w:b/>
        </w:rPr>
        <w:t>E. 2.4.2</w:t>
      </w:r>
    </w:p>
    <w:p>
      <w:r>
        <w:t>Avec la cour cantonale, il y a lieu de confirmer que les faits entrent dans le champ d'application de l' art. 239 CP et que l'action du recourant a effectivement entravé les services d'intérêt général, éléments qui ne sont plus contestés à ce stade. Quant à l'intensité de l'entrave, il est relevé ce qui suit.</w:t>
      </w:r>
    </w:p>
    <w:p>
      <w:r>
        <w:rPr>
          <w:b/>
        </w:rPr>
        <w:t>E. 2.4.3</w:t>
      </w:r>
    </w:p>
    <w:p>
      <w:r>
        <w:t>S'agissant premièrement de la durée de l'entrave (étant précisé que cet élément ne saurait s'examiner seul et de manière abstraite, puisqu'il n'est que l'une des composantes permettant d'évaluer l'intensité de l'entrave), il ressort de l'état de fait cantonal que les perturbations directement causées par le recourant et ses comparses ont duré entre 11h20 et 17h20, soit durant 6 heures. Avec le recourant, il y a toutefois lieu de confirmer que la durée générale des perturbations n'est pas seule pertinente, l'ampleur concrète des perturbations devant également être prise en compte. Or, il est vrai qu'en l'espèce, les retards enregistrés ont été compris entre 10 et 18 minutes. Pris individuellement, de tels retards ne revêtent pas l'intensité nécessaire au sens de l' art. 239 CP (v. l'arrêt 6B_382/2023 précité consid. 6.1.4 et les exemples jurisprudentiels cités). Cependant, il convient également de tenir compte de l'accumulation de ces retards, lesquels ont concerné 33 bus, soit un total combiné compris entre 330 et 594 minutes de retard, et pas uniquement 18 minutes au maximum comme le retient abstraitement le recourant. Dans la mesure où une perturbation d'une heure trente a d'ores et déjà été qualifiée d'entrave importante (cf. ATF 116 IV 44 consid. 2d) et que cette durée est largement dépassée en l'espèce, que ce soit pour la durée générale ou concrète des perturbations, rien ne justifie qu'il en aille différemment ici, du moins à l'aune de ce critère purement temporel.</w:t>
      </w:r>
    </w:p>
    <w:p>
      <w:r>
        <w:t>Quant à l'ampleur de l'entrave, il ressort de l'état de fait cantonal que 33 bus de 6 lignes différentes ont été concernés durant 6 heures, qui plus est sur leur parcours respectif en plein centre de la capitale vaudoise. Dans la mesure où ce qui précède a nécessairement impacté un nombre non négligeable d'usagers des transports publics sur plusieurs lignes et durant plusieurs heures, et étant rappelé que l' art. 239 CP tend justement à protéger l'intérêt du public à ce que certaines entreprises fournissent leurs services sans perturbation (cf.</w:t>
      </w:r>
    </w:p>
    <w:p>
      <w:r>
        <w:t>supra consid. 2.1.1), il y a lieu de confirmer, avec la cour cantonale, que l'entrave doit être qualifiée d'importante à ce titre également.</w:t>
      </w:r>
    </w:p>
    <w:p>
      <w:r>
        <w:rPr>
          <w:b/>
        </w:rPr>
        <w:t>E. 2.4.4</w:t>
      </w:r>
    </w:p>
    <w:p>
      <w:r>
        <w:t>S'agissant encore de l'élément constitutif subjectif, à savoir l'intention, il ressort de l'état de fait cantonal que le recourant a agi "</w:t>
      </w:r>
    </w:p>
    <w:p>
      <w:r>
        <w:t>afin de bloquer la circulation sur cet axe [...]" (jugement attaqué consid. C.2.1). Cet élément n'étant pas contesté par le recourant, notamment sous l'angle de l'arbitraire, on ne décèle pas en quoi la cour cantonale aurait violé le droit fédéral en confirmant que le précité a agi de manière intentionnelle, à tout le moins par dol éventuel. Qu'il ait pu ignorer initialement que la manifestation n'était pas autorisée n'y change rien, dans la mesure notamment où il a pu le constater dès l'intervention des forces de l'ordre (</w:t>
      </w:r>
    </w:p>
    <w:p>
      <w:r>
        <w:t>ibidem ).</w:t>
      </w:r>
    </w:p>
    <w:p>
      <w:r>
        <w:rPr>
          <w:b/>
        </w:rPr>
        <w:t>E. 2.4.5</w:t>
      </w:r>
    </w:p>
    <w:p>
      <w:r>
        <w:t>Il est finalement relevé qu'en vertu de l'arrêt 6B_14/2023 précité consid. 8.6, la condamnation du recourant, notamment au titre de l' art. 239 CP , ne consacre pas une violation de sa liberté de réunion garantie par l' art. 11 CEDH ("</w:t>
      </w:r>
    </w:p>
    <w:p>
      <w:r>
        <w:t>Eu égard à l'ensemble des considérations ci-dessus, il est constaté que les sanctions pénales imposées au recourant, y compris celles qui pourraient l'être par la cour cantonale suite au renvoi par le Tribunal fédéral, ne consacrent pas une violation de sa liberté de réunion garantie par l' art. 11 CEDH "). En tant que cette question a été définitivement tranchée, le principe de l'autorité de l'arrêt de renvoi (sur cette notion en détail, v. notamment l'arrêt 6B_435/2024 du 15 janvier 2025 et les références citées) rend inadmissible sa réitération dans le cadre du présent recours. Partant, le grief correspondant est irrecevable.</w:t>
      </w:r>
    </w:p>
    <w:p>
      <w:r>
        <w:rPr>
          <w:b/>
        </w:rPr>
        <w:t>E. 3</w:t>
      </w:r>
    </w:p>
    <w:p>
      <w:r>
        <w:t>Dans un dernier grief, le recourant revient sur sa condamnation au titre des art. 286 CP et 90 LCR. Pour les mêmes motifs que ceux exposés</w:t>
      </w:r>
    </w:p>
    <w:p>
      <w:r>
        <w:t>supra au consid. 2.4.5, le grief est irrecevable.</w:t>
      </w:r>
    </w:p>
    <w:p>
      <w:r>
        <w:rPr>
          <w:b/>
        </w:rPr>
        <w:t>E. 4</w:t>
      </w:r>
    </w:p>
    <w:p>
      <w:r>
        <w:t>Il s'ensuit que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