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868/2020 vom 28. August 2020</w:t>
      </w:r>
    </w:p>
    <w:p>
      <w:r>
        <w:t>Bundesgericht, 2020-08-28, FR</w:t>
      </w:r>
    </w:p>
    <w:p>
      <w:r>
        <w:rPr>
          <w:b/>
        </w:rPr>
        <w:t xml:space="preserve">Quelle: </w:t>
      </w:r>
      <w:r>
        <w:t>https://mcp.opencaselaw.ch/entscheid/bger_6B_868_2020</w:t>
      </w:r>
    </w:p>
    <w:p>
      <w:r>
        <w:t>FR: TF 6B 868/2020 du 28 août 2020</w:t>
      </w:r>
    </w:p>
    <w:p>
      <w:r>
        <w:t>IT: TF 6B 868/2020 del 28 agosto 2020</w:t>
      </w:r>
    </w:p>
    <w:p>
      <w:pPr>
        <w:pStyle w:val="Heading2"/>
      </w:pPr>
      <w:r>
        <w:t>Regeste</w:t>
      </w:r>
    </w:p>
    <w:p>
      <w:r>
        <w:t>Arbitraire ; irrecevabilité du recours | Infractions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recourant se plaint d'un établissement arbitraire des faits.</w:t>
      </w:r>
    </w:p>
    <w:p>
      <w:r>
        <w:rPr>
          <w:b/>
        </w:rPr>
        <w:t>E. 1.1</w:t>
      </w:r>
    </w:p>
    <w:p>
      <w:r>
        <w:t>Le Tribunal fédéral n'est pas une autorité d'appel, auprès de laquelle les faits pourraient être rediscutés librement. Il est lié par les constatations de fait de la décision entreprise ( art. 105 al. 1 LTF ), à moins qu'elles n'aient été établies en violation du droit ou de manière manifestement inexacte au sens des art. 97 al. 1 et 105 al. 2 LTF, soit pour l'essentiel de façon arbitraire au sens de l' art. 9 Cst. Une décision n'est pas arbitraire du seul fait qu'elle apparaît discutable ou même critiquable; il faut qu'elle soit manifestement insoutenable et cela non seulement dans sa motivation mais aussi dans son résultat. Le Tribunal fédéral n'entre pas en matière sur les critiques de nature appellatoire ( ATF 145 IV 154 consid. 1.1 p. 155 s. et les références citées).</w:t>
      </w:r>
    </w:p>
    <w:p>
      <w:r>
        <w:rPr>
          <w:b/>
        </w:rPr>
        <w:t>E. 1.2</w:t>
      </w:r>
    </w:p>
    <w:p>
      <w:r>
        <w:t>En l'espèce, le recourant s'adonne à une discussion purement appellatoire de l'appréciation des preuves à laquelle s'est livrée l'autorité précédente, sans aucunement en démontrer l'arbitraire. Il se borne - au moyen d'une argumentation sommaire - à prétendre qu'il n'aurait pas été au volant de son véhicule au moment de la commission de l'infraction, en opposant sa propre version des événements à celle de la cour cantonale, sans mettre en évidence une éventuelle constatation insoutenable tirée de l'un ou l'autre des moyens probatoires administrés.</w:t>
      </w:r>
    </w:p>
    <w:p>
      <w:r>
        <w:rPr>
          <w:b/>
        </w:rPr>
        <w:t>E. 2</w:t>
      </w:r>
    </w:p>
    <w:p>
      <w:r>
        <w:t>Faute de satisfaire aux conditions de recevabilité d'un recours en matière pénale au Tribunal fédéral (cf. art. 42 al. 2 et 106 al. 2 LTF), le recours doit être écarté en application de l' art. 108 al. 1 let. b LTF . Le recourant, qui succombe, supporte les frais judiciaires ( art. 66 al. 1 LTF ). Par ces motifs, la Juge présidant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