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866/2021 vom 15. August 2022</w:t>
      </w:r>
    </w:p>
    <w:p>
      <w:r>
        <w:t>Bundesgericht, 2022-08-15, FR</w:t>
      </w:r>
    </w:p>
    <w:p>
      <w:r>
        <w:rPr>
          <w:b/>
        </w:rPr>
        <w:t xml:space="preserve">Quelle: </w:t>
      </w:r>
      <w:r>
        <w:t>https://mcp.opencaselaw.ch/entscheid/bger_6B_866_2021</w:t>
      </w:r>
    </w:p>
    <w:p>
      <w:r>
        <w:t>FR: TF 6B 866/2021 du 15 août 2022</w:t>
      </w:r>
    </w:p>
    <w:p>
      <w:r>
        <w:t>IT: TF 6B 866/2021 del 15 agosto 2022</w:t>
      </w:r>
    </w:p>
    <w:p>
      <w:pPr>
        <w:pStyle w:val="Heading2"/>
      </w:pPr>
      <w:r>
        <w:t>Regeste</w:t>
      </w:r>
    </w:p>
    <w:p>
      <w:r>
        <w:t>Non-entrée en matière (escroquerie, etc.) ; droit d'être entendu ; dépens | Procédure pénale</w:t>
      </w:r>
    </w:p>
    <w:p>
      <w:pPr>
        <w:pStyle w:val="Heading2"/>
      </w:pPr>
      <w:r>
        <w:t>Erwägungen</w:t>
      </w:r>
    </w:p>
    <w:p>
      <w:r>
        <w:rPr>
          <w:b/>
        </w:rPr>
        <w:t>E. 1</w:t>
      </w:r>
    </w:p>
    <w:p>
      <w:r>
        <w:t>Le Tribunal fédéral examine d'office ( art. 29 al. 1 LTF ) et contrôle librement la recevabilité des recours qui lui sont soumis ( ATF 146 IV 185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En l'espèce, il est constant que le recourant s'est constitué partie plaignante au pénal et au civil. L'on comprend que sa démarche tend notamment à obtenir réparation du préjudice qu'il dit avoir subi en raison des infractions dénoncées, soit à tout le moins le montant de 48'912 fr. 10 versé pour payer les travaux convenus. Il y a ainsi lieu d'admettre qu'il dispose de la qualité pour recourir et d'entrer en matière.</w:t>
      </w:r>
    </w:p>
    <w:p>
      <w:r>
        <w:rPr>
          <w:b/>
        </w:rPr>
        <w:t>E. 2</w:t>
      </w:r>
    </w:p>
    <w:p>
      <w:r>
        <w:t>Critiquant la confirmation de l'ordonnance de non-entrée en matière du 11 mars 2020 par la cour cantonale, le recourant invoque une violation de l' art. 319 CPP et soutient également que son droit d'être entendu a été violé.</w:t>
      </w:r>
    </w:p>
    <w:p>
      <w:r>
        <w:rPr>
          <w:b/>
        </w:rPr>
        <w:t>E. 2.1</w:t>
      </w:r>
    </w:p>
    <w:p>
      <w:r>
        <w:t>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 ATF 145 I 167 consid. 4.1 s.; 143 IV 380 consid. 1.1; ATF 140 I 285 consid. 6.3.1 et les arrêts cités).</w:t>
      </w:r>
    </w:p>
    <w:p>
      <w:r>
        <w:rPr>
          <w:b/>
        </w:rPr>
        <w:t>E. 2.2</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2.2.1</w:t>
      </w:r>
    </w:p>
    <w:p>
      <w:r>
        <w:t>Le terme "immédiatement" indique que l'ordonnance de non-entrée en matière doit être rendue à réception de la dénonciation, de la plainte ou du rapport de police avant qu'il ne soit procédé à de plus amples actes d'enquête et qu'une instruction ne soit ouverte selon l' art. 309 CPP (arrêt 6B_89/2022 du 2 juin 2022 consid. 2.2). Selon la jurisprudence, le ministère public peut néanmoins procéder à certaines vérifications. Il peut notamment donner des directives et confier des mandats à la police dans le cadre des investigations policières ( art. 307 al. 2 CPP ; arrêts 6B_89/2022 précité consid. 2.2; 6B_290/2020 du 17 juillet 2020 consid. 2.2). Il peut demander des compléments d'enquête à la police, non seulement lorsqu'il s'agit de compléter un précédent rapport au sens de l' art. 307 CPP , mais aussi lorsque la dénonciation elle-même apparaît insuffisante ( art. 309 al. 2 CPP ; cf. arrêts 6B_89/2022 précité consid. 2.2; 1B_67/2012 du 29 mai 2012 consid. 2.2). Il peut aussi procéder à ses propres constatations (cf. art. 309 al. 1 let. a CPP ), ce qui comprend le droit de consulter les fichiers, dossiers et renseignements disponibles. Il peut demander à la personne mise en cause une simple prise de position (arrêt 6B_89/2022 précité consid. 2.2 et les arrêts cités). L'audition du prévenu et de la partie plaignante par la police ne dépasse pas le cadre des investigations policières qui peuvent être effectuées avant que le ministère public n'ouvre une instruction ( art. 206 al. 1 CPP ; arrêt 6B_89/2022 précité consid. 2.2 et les différents arrêts cités). En revanche, le ministère public ne peut plus rendre une ordonnance de non-entrée en matière lorsqu'il a ouvert une instruction. Si une instruction au sens de l' art. 309 CPP a été ouverte, formellement ou matériellement, il doit la clôturer formellement ( art. 318 CPP ), puis rendre une ordonnance de classement ( art. 319 ss CPP ). L'instruction pénale est considérée comme ouverte lorsque le ministère public ordonne des mesures de contrainte (cf. art. 309 al. 1 let. b CPP ). Dès lors qu'un mandat de comparution est une mesure de contrainte, celui-ci suffit en règle générale à l'ouverture de l'instruction lorsque le ministère public effectue lui-même les premières mesures d'instruction, en particulier entend le prévenu ( ATF 141 IV 20 consid. 1.1.4; arrêt 6B_89/2022 précité consid. 2.2). La production d'un dossier au sens de l' art. 194 al. 1 CPP constitue également un acte d'instruction qui ne peut en principe être exécuté qu'une fois l'instruction ouverte (arrêts 6B_89/2022 précité consid. 2.2; 6B_810/2019 du 22 juillet 2019 consid. 2.3; 6B_875/2018 du 15 novembre 2018 consid. 2.2.2; 1B_731/2012 du 8 février 2013 consid. 2). Lorsque la partie recourante n'a subi aucun dommage du fait que le ministère public a rendu une ordonnance de non-entrée en matière au lieu d'une ordonnance de classement, il ne se justifie pas de l'annuler pour ce seul motif (arrêts 6B_546/2021 du 11 avril 2022 consid. 3.1; 6B_446/2020 du 29 juin 2021 consid. 2.4.1; 6B_641/2020 du 8 septembre 2020 consid. 3).</w:t>
      </w:r>
    </w:p>
    <w:p>
      <w:r>
        <w:rPr>
          <w:b/>
        </w:rPr>
        <w:t>E. 2.2.2</w:t>
      </w:r>
    </w:p>
    <w:p>
      <w:r>
        <w:t>Avant l'ouverture d'une instruction, le droit de participer à l'administration des preuves ne s'applique en principe pas ( art. 147 al. 1 CPP a contrario; ATF 143 IV 397 consid. 3.3.2 i. f.; 140 IV 172 consid. 1.2.2), et ce y compris en cas d'investigations policières diligentées à titre de complément d'enquête requis par le ministère public en vertu de l' art. 309 al. 2 CPP (arrêts 6B_89/2022 précité consid. 2.2; 6B_488/2021 du 22 décembre 2021 consid. 4.2; 6B_290/2020 du 17 juillet 2020 consid. 2.2). En outre, avant de rendre une ordonnance de non-entrée en matière, le ministère public n'a pas à informer les parties ni n'a l'obligation de leur fixer un délai pour présenter d'éventuelles réquisitions de preuve, l' 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arrêts 6B_89/2022 précité consid. 2.2; 6B_488/2021 du 22 décembre 2021 consid. 4.2; 6B_1014/2020 du 10 février 2021 consid. 2.1.2; 6B_1007/2020 du 13 avril 2021 consid. 1.2; 6B_290/2020 du 17 juillet 2020 consid. 2.2 et les références citées).</w:t>
      </w:r>
    </w:p>
    <w:p>
      <w:r>
        <w:rPr>
          <w:b/>
        </w:rPr>
        <w:t>E. 2.3</w:t>
      </w:r>
    </w:p>
    <w:p>
      <w:r>
        <w:t>En l'espèce, les critiques du recourant concernant la violation de son droit d'être entendu se rapportent en particulier aux circonstances entourant la production du dossier de l'Office des poursuites et faillites de V.________ relatif à la faillite de E.________ SA en date du 3 mars 2020, dans les jours précédents l'ordonnance de non-entrée en matière du 11 mars 2020. Sur ce plan, la cour cantonale a considéré qu'en requérant de l'Office des poursuites et faillites de V.________ le dépôt du dossier concernant la faillite de E.________ SA, en application de l' art. 194 CPP , le ministère public avait matériellement ouvert une instruction, de sorte qu'il aurait dû rendre une ordonnance de classement au sens de l' art. 319 CPP et non une ordonnance de non-entrée en matière au sens de l' art. 310 CPP . Elle a toutefois jugé que ce motif ne pouvait conduire à l'annulation de l'ordonnance en cause, dès lors que le recourant n'avait subi aucun préjudice dans ce contexte. Toute éventuelle violation de son droit d'être entendu pouvait être réparée devant elle, eu égard à son plein pouvoir d'examen en fait et en droit, étant relevé qu'un renvoi à l'autorité inférieure aurait constitué une vaine formalité comportant un allongement inutile de la procédure. Dans la configuration propre au cas d'espèce, ce raisonnement ne saurait être suivi. Il convient en effet de souligner qu'en date du 20 décembre 2019, le ministère public a invité les parties a requérir d'éventuels moyens de preuve complémentaires et/ou à faire valoir leurs observations. A la suite de cela, le recourant a notamment requis, par courrier du 30 janvier 2020, la production des documents comptables de E.________ SA, requête à laquelle il a été fait droit, puisque le ministère public a ordonné la production du dossier de faillite. Le recourant soutient qu'il n'a eu connaissance ni de l'ordonnance du 26 février 2020 relative à la production du dossier de faillite, ni du courrier qui lui a été adressé par le ministère public en date du 2 mars 2020, répondant à sa propre correspondance du 26 février 2020 également, qui lui faisait part de l'ordonnance précitée en précisant qu'il serait informé à réception du dossier en question. Il soutient en outre qu'il n'a eu connaissance de l'ordonnance du 26 février 2020 et du courrier du 2 mars suivant qu'à la lecture de la décision attaquée, qui en fait clairement état, à la différence de l'ordonnance de non-entrée en matière du 11 mars 2020. En tout état, il ne ressort ni de la décision attaquée, ni du dossier de la cause, que le dossier de faillite, comportant des documents comptables dont le recourant avait requis la production, lui ont été communiqués en lui ménageant la possibilité de se déterminer à leur égard durant le bref laps de temps écoulé entre la production du dossier par l'office, le 3 mars 2020, et la notification de l'ordonnance de non-entrée en matière du 11 mars suivant. Au regard de ces éléments et au vu de cet enchaînement, il était indispensable, pour sauvegarder son droit d'être entendu, que le recourant puisse avoir connaissance et s'exprimer sur les pièces en question avant que le ministère public rende sa décision. En l'occurrence, on doit bel et bien admettre, contrairement à ce qu'a retenu la cour cantonale, que le recourant a subi un préjudice du fait qu'il n'ait pas été tenu compte de l'ouverture matérielle de l'instruction liée à la production du dossier en cause, que cette situation a empêché, au détriment du recourant, qu'il soit fait application de l' art. 318 CPP et que le vice considéré n'est pas réparable nonobstant le pouvoir de cognition dont disposait la cour cantonale. Il s'ensuit que le grief de violation du droit d'être entendu s'avère fondé. Il n'y a dès lors pas lieu d'examiner plus avant les autres griefs soulevés par le recourant.</w:t>
      </w:r>
    </w:p>
    <w:p>
      <w:r>
        <w:rPr>
          <w:b/>
        </w:rPr>
        <w:t>E. 3</w:t>
      </w:r>
    </w:p>
    <w:p>
      <w:r>
        <w:t>Au vu de ce qui précède, le recours doit être admis, l'arrêt attaqué annulé et la cause renvoyée à l'autorité précédente pour nouvelle décision. Au regard de la nature procédurale du vice examiné, il peut être procédé au renvoi sans ordonner préalablement un échange d'écritures (cf. ATF 133 IV 293 consid. 3.4.2; plus récemment: arrêt 6B_883/2020 du 15 avril 2021 consid. 3). Le recourant, qui obtient gain de cause, ne supporte pas de frais judiciaires ( art. 66 al. 1 LTF ) et peut prétendre à une indemnité de dépens à la charge du canton du Valais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