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6B_866/2019 vom 12. September 2019</w:t>
      </w:r>
    </w:p>
    <w:p>
      <w:r>
        <w:t>Bundesgericht, 2019-09-12, FR</w:t>
      </w:r>
    </w:p>
    <w:p>
      <w:r>
        <w:rPr>
          <w:b/>
        </w:rPr>
        <w:t xml:space="preserve">Quelle: </w:t>
      </w:r>
      <w:r>
        <w:t>https://mcp.opencaselaw.ch/entscheid/bger_6B_866_2019</w:t>
      </w:r>
    </w:p>
    <w:p>
      <w:r>
        <w:t>FR: TF 6B_866/2019 du 12 septembre 2019</w:t>
      </w:r>
    </w:p>
    <w:p>
      <w:r>
        <w:t>IT: TF 6B_866/2019 del 12 settembre 2019</w:t>
      </w:r>
    </w:p>
    <w:p>
      <w:pPr>
        <w:pStyle w:val="Heading2"/>
      </w:pPr>
      <w:r>
        <w:t>Erwägungen</w:t>
      </w:r>
    </w:p>
    <w:p>
      <w:r>
        <w:rPr>
          <w:b/>
        </w:rPr>
        <w:t>E. 1</w:t>
      </w:r>
    </w:p>
    <w:p>
      <w:r>
        <w:t>En l'occurrence, on ne se trouve pas dans l'hypothèse visée par l' art. 135 al. 3 let. b CPP , qui prévoit un recours devant le Tribunal pénal fédéral lorsque l'indemnité pour la défense d'office est fixée par l'autorité de recours. Le recours en matière pénale est ouvert ( ATF 140 IV 213 consid. 1.7 p. 216).</w:t>
      </w:r>
    </w:p>
    <w:p>
      <w:r>
        <w:rPr>
          <w:b/>
        </w:rPr>
        <w:t>E. 2</w:t>
      </w:r>
    </w:p>
    <w:p>
      <w:r>
        <w:t>Le recourant reproche à la cour cantonale d'avoir violé son droit d'être entendu en motivant insuffisamment sa décision concernant l'indemnisation de son activité relative au recours du 9 novembre 2015.</w:t>
      </w:r>
    </w:p>
    <w:p>
      <w:r>
        <w:rPr>
          <w:b/>
        </w:rPr>
        <w:t>E. 2.1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145 IV 99 consid. 3.1 p. 109; 143 IV 40 consid. 3.4.3 p. 46; 143 III 65 consid. 5.3 p. 70; 139 IV 179 consid. 2.2 p. 183).</w:t>
      </w:r>
    </w:p>
    <w:p>
      <w:r>
        <w:rPr>
          <w:b/>
        </w:rPr>
        <w:t>E. 2.2</w:t>
      </w:r>
    </w:p>
    <w:p>
      <w:r>
        <w:t>L'autorité précédente a exposé que le recourant avait facturé 21 heures de travail pour le recours du 9 novembre 2015. Cette durée était excessive et devait être ramenée à 12 heures, ce qui représentait un montant total de 2'592 fr., dès lors que l'écriture de 32 pages portait principalement sur des faits et que l'aspect juridique n'était pas complexe.</w:t>
      </w:r>
    </w:p>
    <w:p>
      <w:r>
        <w:rPr>
          <w:b/>
        </w:rPr>
        <w:t>E. 2.3</w:t>
      </w:r>
    </w:p>
    <w:p>
      <w:r>
        <w:t>Contrairement à ce que soutient le recourant, la motivation de la cour cantonale permet de saisir les motifs ayant guidé sa décision, les différents postes facturés en relation avec l'élaboration du recours du 9 novembre 2015 étant au demeurant expressément mentionnés dans l'arrêt attaqué. L'intéressé a bien compris les explications fournies, qu'il critique dans un grief topique sur ce point (cf. consid. 3 infra). Le grief doit donc être rejeté.</w:t>
      </w:r>
    </w:p>
    <w:p>
      <w:r>
        <w:rPr>
          <w:b/>
        </w:rPr>
        <w:t>E. 3</w:t>
      </w:r>
    </w:p>
    <w:p>
      <w:r>
        <w:t>Le recourant prétend que l'indemnisation de son activité serait arbitraire et violerait l' art. 138 al. 1 CPP .</w:t>
      </w:r>
    </w:p>
    <w:p>
      <w:r>
        <w:rPr>
          <w:b/>
        </w:rPr>
        <w:t>E. 3.1</w:t>
      </w:r>
    </w:p>
    <w:p>
      <w:r>
        <w:t>L' art. 138 al. 1 CPP dispose que l' art. 135 CPP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 Aux termes de l' art. 135 al. 1 CPP , le défenseur d'office est indemnisé conformément au tarif des avocats de la Confédération ou du canton du for du procès.</w:t>
      </w:r>
    </w:p>
    <w:p>
      <w:r>
        <w:t>L'autorité cantonale dispose d'un large pouvoir d'appréciation dans la fixation de l'indemnité du défenseur d'office.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p. 2 s. et les références citées; arrêt 6B_1231/2018 du 20 mars 2019 consid. 2.1.1).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p. 409; plus récemment, arrêt 6B_1231/2018 précité consid. 2.1.1; cf. ATF 141 I 124 consid. 3.2 p. 126). Il ne suffit pas que l'autorité ait apprécié de manière erronée un poste de l'état de frais ou qu'elle se soit fondée sur un argument déraisonnable; encore faut-il que le montant global alloué à titre d'indemnité se révèle arbitraire ( ATF 109 Ia 107 consid. 3d p. 112; arrêt 6B_304/2018 du 5 octobre 2018 consid. 1.1).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p. 126).</w:t>
      </w:r>
    </w:p>
    <w:p>
      <w:r>
        <w:rPr>
          <w:b/>
        </w:rPr>
        <w:t>E. 3.2</w:t>
      </w:r>
    </w:p>
    <w:p>
      <w:r>
        <w:t>Dans le canton de Genève, l'art. 16 al. 2 du règlement sur l'assistance juridique et l'indemnisation des conseils juridiques et défenseurs d'office en matière civile, administrative et pénale (RAJ/GE; RS/GE E 2 05.04) dispose que seules les heures nécessaires sont retenues. Elles sont appréciées en fonction notamment de la nature, de l'importance, et des difficultés de la cause, de la valeur litigieuse, de la qualité du travail fourni et du résultat obtenu.</w:t>
      </w:r>
    </w:p>
    <w:p>
      <w:r>
        <w:rPr>
          <w:b/>
        </w:rPr>
        <w:t>E. 3.3</w:t>
      </w:r>
    </w:p>
    <w:p>
      <w:r>
        <w:t>L'autorité précédente a indiqué qu'il convenait de retenir 12 heures d'activité d'avocat - pour le recours du 9 novembre 2015 - et non les 21 heures facturées. Une telle durée apparaissait excessive dès lors que le recours avait porté principalement sur des faits et que l'aspect juridique n'était pas complexe.</w:t>
      </w:r>
    </w:p>
    <w:p>
      <w:r>
        <w:rPr>
          <w:b/>
        </w:rPr>
        <w:t>E. 3.4</w:t>
      </w:r>
    </w:p>
    <w:p>
      <w:r>
        <w:t>Le recourant revient pour partie sur des aspects qui avaient déjà été examinés dans l'arrêt de renvoi du 15 juin 2018. Le Tribunal fédéral y avait ainsi relevé que la cour cantonale avait, sans arbitraire, considéré que la cause n'était pas "juridiquement complexe" (cf. consid. 4.3.2). Le recourant ne saurait désormais contester cette appréciation, reprise par l'autorité précédente dans sa motivation relative à l'indemnisation des heures consacrées à la rédaction du recours du 9 novembre 2015.</w:t>
      </w:r>
    </w:p>
    <w:p>
      <w:r>
        <w:t>Par ailleurs, le recourant indique qu'il aurait dû consacrer trois heures à l'étude du dossier, le 9 novembre 2015, dans le cadre de la rédaction du recours en question. Or, il ressort de sa note d'honoraires du 28 avril 2016 qu'un temps encore supérieur avait été dévolu à cette tâche le 29 septembre 2015, en vue des déterminations formulées à la suite de l'avis de prochaine clôture du 16 septembre 2015, en particulier afin de réclamer des mesures probatoires. Sur ce point, le Tribunal fédéral avait, dans son arrêt de renvoi du 15 juin 2018, relevé que la cour cantonale avait, sans arbitraire, estimé que la durée annoncée pour le 29 septembre 2015 n'apparaissait pas nécessaire pour l'étude d'un dossier dont le recourant avait alors déjà une bonne connaissance (cf. consid. 4.3.2). On ne voit pas ce qui aurait justifié, quelques jours après une étude approfondie du dossier en vue de la rédaction de déterminations et de réquisitions de preuves, de consacrer derechef une durée presque équivalente à la lecture du même dossier.</w:t>
      </w:r>
    </w:p>
    <w:p>
      <w:r>
        <w:t>Enfin, il n'apparaît pas que l'autorité précédente aurait versé dans l'arbitraire en considérant qu'une activité de 17 heures - consacrée à la rédaction - s'avérait excessive au regard du mémoire de recours du 9 novembre 2015. Comme l'a à bon droit relevé celle-ci, cette écriture ne révèle pas que des recherches juridiques particulières auraient été effectuées, mais consiste essentiellement à rediscuter les faits de la cause. Pour le reste, on ne voit pas quel critère pertinent découlant de la jurisprudence précitée ou de l'art. 16 al. 2 RAJ/GE (cf. consid. 3.1 et 3.2 supra) aurait été ignoré ou mal apprécié par la cour cantonale. Cette dernière pouvait ainsi, sans arbitraire, considérer qu'une durée totale de 21 heures était excessive pour la rédaction de l'écriture concernée, et que seules 12 heures d'activité d'avocat étaient nécessaires pour attaquer l'ordonnance de classement du 27 octobre 2015 compte tenu des spécificités de la cause. On peut ajouter que le montant total alloué au recourant pour la rédaction du recours concerné, soit 2'592 fr., n'apparaît pas davantage arbitraire.</w:t>
      </w:r>
    </w:p>
    <w:p>
      <w:r>
        <w:t>Le grief doit donc être rejeté.</w:t>
      </w:r>
    </w:p>
    <w:p>
      <w:r>
        <w:rPr>
          <w:b/>
        </w:rPr>
        <w:t>E. 4</w:t>
      </w:r>
    </w:p>
    <w:p>
      <w:r>
        <w:t>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