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865/2021 vom 16. November 2021</w:t>
      </w:r>
    </w:p>
    <w:p>
      <w:r>
        <w:t>Bundesgericht, 2021-11-16, DE</w:t>
      </w:r>
    </w:p>
    <w:p>
      <w:r>
        <w:rPr>
          <w:b/>
        </w:rPr>
        <w:t xml:space="preserve">Quelle: </w:t>
      </w:r>
      <w:r>
        <w:t>https://mcp.opencaselaw.ch/entscheid/bger_6B_865_2021</w:t>
      </w:r>
    </w:p>
    <w:p>
      <w:r>
        <w:t>FR: TF 6B 865/2021 du 16 novembre 2021</w:t>
      </w:r>
    </w:p>
    <w:p>
      <w:r>
        <w:t>IT: TF 6B 865/2021 del 16 novembre 2021</w:t>
      </w:r>
    </w:p>
    <w:p>
      <w:pPr>
        <w:pStyle w:val="Heading2"/>
      </w:pPr>
      <w:r>
        <w:t>Regeste</w:t>
      </w:r>
    </w:p>
    <w:p>
      <w:r>
        <w:t>Einstellung (falsche Anschuldigung); Nichteintreten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Bst.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6B_1178/2020 vom 21. September 2021 E. 1.1; je mit Hinweisen).</w:t>
      </w:r>
    </w:p>
    <w:p>
      <w:r>
        <w:rPr>
          <w:b/>
        </w:rPr>
        <w:t>E. 1.2</w:t>
      </w:r>
    </w:p>
    <w:p>
      <w:r>
        <w:t>Der Beschwerdeführer bringt zu seiner Beschwerdelegitimation einzig vor, er habe sich im Strafverfahren als Privatkläger konstituiert und mache Genugtuungsansprüche geltend. Ausserdem behalte er sich vor, weitere Zivilansprüche (Schadenersatz) geltend zu machen. In diesen Ausführungen benennt der Beschwerdeführer keine konkreten Zivilforderungen. Es bleibt völlig unklar, worin die genannten Schadenersatz- und Genugtuungsforderungen bestehen sollen. Damit genügt die Beschwerde den Begründungsanforderungen von Art. 42 Abs. 2 BGG nicht. Bei dem zur Anzeige gebrachten Straftatbestand der falschen Anschuldigung ist auch nicht ohne Weiteres erkennbar, um welche Zivilforderungen es geht bzw. gehen könnte. Entsprechend ist die Beschwerdelegitimation des Beschwerdeführers zu verneinen.</w:t>
      </w:r>
    </w:p>
    <w:p>
      <w:r>
        <w:rPr>
          <w:b/>
        </w:rPr>
        <w:t>E. 2</w:t>
      </w:r>
    </w:p>
    <w:p>
      <w:r>
        <w:t>Unabhängig von der fehlenden Sachlegitimation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(sog. "Star-Praxis"; BGE 146 IV 76 E. 2; 141 IV 1 E. 1.1; je mit Hinweisen). So kann die Privatklägerschaft etwa vorbringen, auf ein Rechtsmittel sei zu Unrecht nicht eingetreten worden, sie sei nicht angehört worden, habe keine Gelegenheit erhalten, Beweisanträge zu stellen, oder keine Einsicht in die Akten erhalten (Urteil 6B_621/2021 vom 20. August 2021 E. 3.3 mit Hinweisen). Derartige Rügen finden sich in der Beschwerde keine. Der Beschwerdeführer zielt allein auf eine materielle Überprüfung des angefochtenen Entscheids ab. Darauf kann nicht eingetreten werden.</w:t>
      </w:r>
    </w:p>
    <w:p>
      <w:r>
        <w:rPr>
          <w:b/>
        </w:rPr>
        <w:t>E. 3</w:t>
      </w:r>
    </w:p>
    <w:p>
      <w:r>
        <w:t>Auf die Beschwerde wird im Verfahren nach Art. 109 BGG nicht eingetreten. Ausgangsgemäss wird der Beschwerdeführer kostenpflichtig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