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6B_865/2010 vom 24. Februar 2011</w:t>
      </w:r>
    </w:p>
    <w:p>
      <w:r>
        <w:t>Bundesgericht, 2011-02-24, FR</w:t>
      </w:r>
    </w:p>
    <w:p>
      <w:r>
        <w:rPr>
          <w:b/>
        </w:rPr>
        <w:t xml:space="preserve">Quelle: </w:t>
      </w:r>
      <w:r>
        <w:t>https://mcp.opencaselaw.ch/entscheid/bger_6B_865_2010</w:t>
      </w:r>
    </w:p>
    <w:p>
      <w:r>
        <w:t>FR: TF 6B_865/2010 du 24 février 2011</w:t>
      </w:r>
    </w:p>
    <w:p>
      <w:r>
        <w:t>IT: TF 6B_865/2010 del 24 febbraio 2011</w:t>
      </w:r>
    </w:p>
    <w:p>
      <w:pPr>
        <w:pStyle w:val="Heading2"/>
      </w:pPr>
      <w:r>
        <w:t>Erwägungen</w:t>
      </w:r>
    </w:p>
    <w:p>
      <w:r>
        <w:rPr>
          <w:b/>
        </w:rPr>
        <w:t>E. 1</w:t>
      </w:r>
    </w:p>
    <w:p>
      <w:r>
        <w:t>Le recourant soutient en premier lieu que la Cour de cassation pénale a omis de constater certains faits et témoignages relatifs aux caractéristiques des certificats qu'il a falsifiés. Ceux-ci avaient été pourtant dûment établis par le Tribunal correctionnel.</w:t>
      </w:r>
    </w:p>
    <w:p>
      <w:r>
        <w:rPr>
          <w:b/>
        </w:rPr>
        <w:t>E. 1.1</w:t>
      </w:r>
    </w:p>
    <w:p>
      <w:r>
        <w:t>Comme sous l'empire de l'ancien droit, l'autorité de dernière instance peut elle-même se référer à un état de fait contenu dans la décision d'une autorité inférieure; dans ce cas, l'état de fait de l'autorité inférieure doit être considéré comme incorporé dans la décision attaquée ( ATF 126 III 187 consid. 2a p. 188). En l'espèce, le Tribunal cantonal a repris en substance les faits exposés par le Tribunal correctionnel en renvoyant pour le surplus au jugement attaqué, intégrant ainsi l'entier des faits dont ceux exposés par le recourant. La critique est ainsi vaine.</w:t>
      </w:r>
    </w:p>
    <w:p>
      <w:r>
        <w:rPr>
          <w:b/>
        </w:rPr>
        <w:t>E. 1.2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 ATF 133 IV 286 consid. 1.4 p. 287). De jurisprudence constante, une décision n'est pas arbitraire du seul fait qu'elle apparaît discutable ou même critiquable. Il faut qu'elle soit manifestement insoutenable, et cela non seulement dans sa motivation mais dans son résultat ( ATF 135 V 2 consid. 1.3 p. 4 s.; 134 I 140 consid. 5.4 p. 148). Le Tribunal fédéral n'entre pas en matière sur les critiques de nature appellatoire ( ATF 133 III 393 consid. 6 p. 397).</w:t>
      </w:r>
    </w:p>
    <w:p>
      <w:r>
        <w:rPr>
          <w:b/>
        </w:rPr>
        <w:t>E. 2</w:t>
      </w:r>
    </w:p>
    <w:p>
      <w:r>
        <w:t>Le recourant soutient que la cour cantonale, en omettant de prendre en considération plusieurs faits pertinents, a considéré à tort que la condition de l'astuce de l' art. 146 CP était réalisée. Partant, elle a violé le droit fédéral.</w:t>
      </w:r>
    </w:p>
    <w:p>
      <w:r>
        <w:rPr>
          <w:b/>
        </w:rPr>
        <w:t>E. 2.1</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L'escroquerie consiste à tromper la dupe. Pour qu'il y ait escroquerie, une simple tromperie ne suffit cependant pas; il faut qu'elle soit astucieuse.</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l'astuce que dans des cas exceptionnels ( ATF 135 IV 76 consid. 5.2 p. 81).</w:t>
      </w:r>
    </w:p>
    <w:p>
      <w:r>
        <w:rPr>
          <w:b/>
        </w:rPr>
        <w:t>E. 2.2</w:t>
      </w:r>
    </w:p>
    <w:p>
      <w:r>
        <w:t>La cour cantonale a constaté que les certificats de garantie dont s'est servi le recourant étaient des copies d'un original dont le contenu et la structure n'avaient subi aucune modification, seule leur couleur était légèrement plus claire (gris au lieu de noir et bleu pâle au lieu d'un bleu plus soutenu). Elle a retenu que la différence entre les vrais et les faux certificats était minime, puisqu'elle se limitait uniquement à une nuance dans les couleurs. Contrairement à l'opinion des premiers juges, la falsification n'était dès lors pas aisément reconnaissable au terme d'un examen sommaire pour l'entreprise, dont on ne pouvait exiger qu'elle vérifie dans le détail chaque certificat, par exemple en prenant contact avec la compagnie d'assurance concernée aux fins de contrôle. Il avait d'ailleurs été nécessaire de procéder à une expertise des certificats pour confirmer leur fausseté et six autres entreprises avaient été trompées.</w:t>
      </w:r>
    </w:p>
    <w:p>
      <w:r>
        <w:rPr>
          <w:b/>
        </w:rPr>
        <w:t>E. 2.2.1</w:t>
      </w:r>
    </w:p>
    <w:p>
      <w:r>
        <w:t>Pour établir le défaut d'astuce, le recourant reproche à l'autorité de ne pas avoir retenu les autres traces de falsification sur les documents forgés et de ne pas avoir considéré le témoignage de l'employé de l'assurance pour qui le faux était évident.</w:t>
      </w:r>
    </w:p>
    <w:p>
      <w:r>
        <w:rPr>
          <w:b/>
        </w:rPr>
        <w:t>E. 2.2.2</w:t>
      </w:r>
    </w:p>
    <w:p>
      <w:r>
        <w:t>Il est constant qu'afin d'obtenir indûment les retenues de garantie sur les travaux effectués, le recourant a présenté aux entreprises des faux certificats qui se distinguent des originaux par une légère différence de couleur. Selon les constatations cantonales qui lient le Tribunal fédéral ( art. 105 al.1 LTF ), les différences entre les copies et les originaux ne changent que de manière limitée l'aspect général des documents et doivent être qualifiées de mineures. En se limitant à soutenir que les traces de falsification étaient évidentes, le recourant ne fait que substituer de manière appellatoire, et partant irrecevable (consid. 1.2), son appréciation des preuves à celle de la cour cantonale sans exposer de manière circonstanciée en quoi les constatations cantonales seraient arbitraires ( art. 9 Cst ); partant, son grief ne répond pas aux exigences accrues de motivation ( art. 106 al. 2 LTF ). Au demeurant, le fait que la compagnie d'assurances Z.________ ait déclaré que la falsification ne faisait pas de doute pour un employé qualifié n'est d'aucun secours au recourant. En effet, on ne saurait opposer à l'entreprise qui reçoit des documents émis par une assurance la même parfaite connaissance de ces documents quant à leurs caractéristiques qu'en a la société émettrice elle-même. En outre, les montants à payer dont l'importance est relative eu égard aux opérations considérées et à la taille de l'entreprise ne lui imposaient pas de faire preuve d'une attention accrue. Ainsi, en définitive, les certificats remis à Y.________ SA ne comportaient pas d'éléments qui devaient la faire douter de leur caractère original au terme d'un examen courant, et celle-ci n'avait dès lors pas à procéder à des vérifications particulières.</w:t>
      </w:r>
    </w:p>
    <w:p>
      <w:r>
        <w:t>Dans ces circonstances, c'est sans violer le droit fédéral que la cour de cassation a retenu le caractère astucieux de la tromperie.</w:t>
      </w:r>
    </w:p>
    <w:p>
      <w:r>
        <w:t>Les mêmes considérations s'appliquent aux autres entreprises qui se sont également vues remettre des certificats falsifiés par le recourant et qui n'avaient pas davantage de motifs de soupçonner qu'ils étaient faux.</w:t>
      </w:r>
    </w:p>
    <w:p>
      <w:r>
        <w:rPr>
          <w:b/>
        </w:rPr>
        <w:t>E. 2.3</w:t>
      </w:r>
    </w:p>
    <w:p>
      <w:r>
        <w:t>Le recourant ne conteste pas, à juste titre, la réalisation des autres conditions de l'infraction visée par l' art. 146 CP . Sa condamnation pour escroquerie et tentative d'escroquerie ne viole donc pas le droit fédéral.</w:t>
      </w:r>
    </w:p>
    <w:p>
      <w:r>
        <w:rPr>
          <w:b/>
        </w:rPr>
        <w:t>E. 3</w:t>
      </w:r>
    </w:p>
    <w:p>
      <w:r>
        <w:t>Le recours doit ainsi être rejeté dans la mesure où il est recevable. Le recourant, qui succombe, supporte les frais de justice ( art. 66 al. 1 LTF ). Les intimés qui n'ont pas été invités à se déterminer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