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864/2020 vom 16. Oktober 2020</w:t>
      </w:r>
    </w:p>
    <w:p>
      <w:r>
        <w:t>Bundesgericht, 2020-10-16, DE</w:t>
      </w:r>
    </w:p>
    <w:p>
      <w:r>
        <w:rPr>
          <w:b/>
        </w:rPr>
        <w:t xml:space="preserve">Quelle: </w:t>
      </w:r>
      <w:r>
        <w:t>https://mcp.opencaselaw.ch/entscheid/bger_6B_864_2020</w:t>
      </w:r>
    </w:p>
    <w:p>
      <w:r>
        <w:t>FR: TF 6B 864/2020 du 16 octobre 2020</w:t>
      </w:r>
    </w:p>
    <w:p>
      <w:r>
        <w:t>IT: TF 6B 864/2020 del 16 ottobre 2020</w:t>
      </w:r>
    </w:p>
    <w:p>
      <w:pPr>
        <w:pStyle w:val="Heading2"/>
      </w:pPr>
      <w:r>
        <w:t>Regeste</w:t>
      </w:r>
    </w:p>
    <w:p>
      <w:r>
        <w:t>Anordnung zur Indossierung von Namenaktien, rechtliches Gehör, Ordnungsbusse, Ersatzvornahme | Strafprozess</w:t>
      </w:r>
    </w:p>
    <w:p>
      <w:pPr>
        <w:pStyle w:val="Heading2"/>
      </w:pPr>
      <w:r>
        <w:t>Erwägungen</w:t>
      </w:r>
    </w:p>
    <w:p>
      <w:r>
        <w:rPr>
          <w:b/>
        </w:rPr>
        <w:t>E. 1.1</w:t>
      </w:r>
    </w:p>
    <w:p>
      <w:r>
        <w:t>Der Beschwerdeführer rügt eine Verletzung seines Anspruchs auf rechtliches Gehör sowie von Art. 442 Abs. 2 StPO und Art. 122 ff. SchKG . Die Unterzeichnung der Indossamente als Vollzugshandlung folge offensichtlich einem Kaufvertrag. Vor der angeordneten Indossierung sei er über diesen zu informieren. Es seien ihm die Erwerber, die Höhe des Verkaufspreises und die Art der Verwertung bekannt zu geben. Die Namenaktien oder D.________ AG hätten keinen Markt- oder Börsenpreis und für einen freihändigen Verkauf habe er keine Zustimmung erteilt. Deshalb stehe nur die Verwertung durch Versteigerung zur Verfügung. Eine solche sei ihm nicht angezeigt worden, weshalb er keine Möglichkeit gehabt habe, zwecks Erlösmaximierung mitzubieten oder Dritte auf die Steigerung aufmerksam zu machen. Zwar schliesse der angefochtene Beschluss das Strafvollzugsverfahren betreffend die Vollstreckung der Verfahrenskosten nicht ab, doch drohe ihm ein nicht wieder gutzumachender Nachteil, wenn er den Anordnungen der Vorinstanz Folge leiste resp. die Ersatzvornahme zulasse.</w:t>
      </w:r>
    </w:p>
    <w:p>
      <w:r>
        <w:rPr>
          <w:b/>
        </w:rPr>
        <w:t>E. 1.2.1</w:t>
      </w:r>
    </w:p>
    <w:p>
      <w:r>
        <w:t>Das Bundesgericht beurteilt Beschwerden gegen Entscheide in Strafsachen ( Art. 78 Abs. 1 BGG ). Der Beschwerde in Strafsachen unterliegen auch Entscheide über Zivilansprüche, wenn diese zusammen mit der Strafsache zu behandeln sind, und Entscheide über den Vollzug von Strafen und Massnahmen ( Art. 78 Abs. 2 BGG ). Die Beschwerde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hingegen gemäss Art. 93 Abs. 1 lit. a BGG nur zulässig, wenn diese einen nicht wieder gutzumachenden Nachteil bewirken können. Ein solcher liegt vor, wenn er auch durch einen für den Beschwerdeführer günstigen späteren Entscheid nicht mehr oder nicht vollständig behoben werden kann. Die Möglichkeit eines Nachteils genügt, jedoch muss dieser rechtlicher Natur sein. Rein tatsächliche Nachteile wie eine Verfahrensverlängerung oder -verteuerung reichen nicht aus ( BGE 144 IV 321 E. 2.3, 90 E. 1.1.3; 143 IV 175 E. 2.3; 143 III 416 E. 1.3). Auch ökonomische Nachteile genügen nicht ( BGE 137 III 589 E. 1.2.3 S. 591; Urteile 6B_457/2020 vom 20. Juli 2020 E. 1; 6B_818/2019 vom 4. November 2019 E. 1.1; je mit Hinweisen). Der Beschwerdeführer hat bei der Anfechtung von Zwischenentscheiden die Tatsachen anzuführen, aus denen sich der nicht wieder gutzumachende Nachteil ergeben soll, sofern dies nicht offensichtlich ist (vgl. Art. 42 Abs. 2 BGG ; BGE 141 IV 284 E. 2.3, 289 E. 1.3; je mit Hinweisen).</w:t>
      </w:r>
    </w:p>
    <w:p>
      <w:r>
        <w:rPr>
          <w:b/>
        </w:rPr>
        <w:t>E. 1.2.2</w:t>
      </w:r>
    </w:p>
    <w:p>
      <w:r>
        <w:t>Die Beschwerde in Strafsachen an das Bundesgericht ist zulässig gegen Entscheide letzter kantonaler Instanzen und gegen Entscheide der Beschwerdekammer und der Berufungskammer des Bundesstrafgerichts (vgl. Art. 80 Abs. 1 BGG ). Die Kantone setzen als letzte kantonale Instanzen obere Gerichte ein. Diese entscheiden als Rechtsmittelinstanzen. Ausgenommen sind die Fälle, in denen nach der StPO ein Zwangsmassnahmengericht oder ein anderes Gericht als einzige kantonale Instanz entscheidet ( Art. 80 Abs. 2 BGG ). Der doppelte kantonale Instanzenzug dient nicht nur dem Rechtsschutz der betroffenen Personen, sondern auch der Entlastung des Bundesgerichtes ( BGE 142 IV 170 E. 1.3.2 mit Hinweis).</w:t>
      </w:r>
    </w:p>
    <w:p>
      <w:r>
        <w:rPr>
          <w:b/>
        </w:rPr>
        <w:t>E. 1.2.3</w:t>
      </w:r>
    </w:p>
    <w:p>
      <w:r>
        <w:t>Entscheide, die der Beschwerde an das Bundesgericht unterliegen, müssen namentlich die Begehren, die Beweisvorbringen und Prozesserklärungen der Parteien sowie die massgebenden Gründe tatsächlicher und rechtlicher Art enthalten (vgl. Art. 112 Abs. 1 BGG ). Genügt der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6B_48/2019 vom 9. August 2019 E. 2.7; 6B_285/2018 vom 17. Mai 2019 E. 1.7 und 6B_113/2018 vom 7. November 2018 E. 3.1).</w:t>
      </w:r>
    </w:p>
    <w:p>
      <w:r>
        <w:rPr>
          <w:b/>
        </w:rPr>
        <w:t>E. 1.3</w:t>
      </w:r>
    </w:p>
    <w:p>
      <w:r>
        <w:t>Die Vorinstanz legt nicht dar, ob sie ihrem Entscheid materielles Straf- oder Strafprozessrecht zugrunde legt. Sie begründet ihre Anordnungen lediglich mit Art. 343 ZPO . Aus dem angefochtenen Beschluss geht sodann nicht hervor, in welchem Verfahren und gestützt auf welches kantonale oder eidgenössische Recht die I. Strafkammer des Obergerichts des Kantons Zürich als erste und einzige Instanz entscheidet bzw. sich als zuständig erachtet. Darüber hinaus ist mit Ausnahme des Hinweises, dass Erwerber für die Namenaktien der D.________ AG gefunden worden seien, der seit dem bundesgerichtlichen Urteil 6B_667/2019 vom 4. Dezember 2019 ergangene weitere Sachverhalt nicht ersichtlich. Damit kann das Bundesgericht nicht hinreichend beurteilen, ob ihm ein verfahrensabschliessender Entscheid in Strafsachen vorliegt. Auch die vorinstanzliche Zuständigkeit und die vom Beschwerdeführer geltend gemachten Rechtsverletzungen lassen sich nicht ausreichend überprüfen.</w:t>
      </w:r>
    </w:p>
    <w:p>
      <w:r>
        <w:rPr>
          <w:b/>
        </w:rPr>
        <w:t>E. 2</w:t>
      </w:r>
    </w:p>
    <w:p>
      <w:r>
        <w:t>Der Beschluss vom 22. Juni 2020 ist aufzuheben und die Sache ist an die Vorinstanz zurückzuweisen, damit diese einen Entscheid trifft, der den Anforderungen von Art. 112 Abs. 1 BGG genügt. Für das bundesgerichtliche Verfahren sind keine Kosten zu erheben ( Art. 66 Abs. 4 BGG ). Dem Beschwerdeführer ist keine Entschädigung zuzusprechen, da er im bundesgerichtlichen Verfahren nicht anwaltlich vertreten ist und keine besonderen Verhältnisse oder Auslagen geltend macht, die eine solche rechtfertigen könnten (vgl. BGE 127 V 205 E. 4b S. 207; 125 II 518 E. 5b S. 519 f.).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